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Steven E. Seasly</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216.274.2234</w:t>
            </w:r>
            <w:br/>
            <w:r>
              <w:rPr>
                <w:color w:val="337CB4"/>
              </w:rPr>
              <w:t xml:space="preserve">email </w:t>
            </w:r>
            <w:r>
              <w:rPr/>
              <w:t xml:space="preserve"> sseasly@hahnlaw.com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Labor &amp; Employment, Employment Contracts &amp; Employment Policies, Labor &amp; Employment Class Action, Affirmative Action Plans, EEOC &amp; State Administrative Compliance, Employment Litigation, OSHA, Construction</w:t>
            </w:r>
          </w:p>
        </w:tc>
      </w:tr>
    </w:tbl>
    <w:tbl>
      <w:tblGrid>
        <w:gridCol/>
      </w:tblGrid>
      <w:tr>
        <w:trPr/>
        <w:tc>
          <w:tcPr>
            <w:noWrap/>
          </w:tcPr>
          <w:p>
            <w:pPr/>
            <w:r>
              <w:rPr/>
              <w:t xml:space="preserve">A Partner in Hahn Loeser’s Cleveland office since 2007 and current Chair of the Firm’s Labor and Employment Group, Steven E. Seasly has nearly 30 years of labor and employment law experience – exclusively representing and counseling employers across the country on the wide variety of employment and labor law issues. His breadth of experience includes complex employment law litigation, collective and/or class action wage and hour litigation, labor arbitrations, union avoidance campaigns, wage and hour audits and investigations, health and safety investigations and hearings, Title IX investigations, workers’ compensation hearings, collective bargaining sessions, employment law training seminars, and counseling clients on day-to-day employment and labor issues.</w:t>
            </w:r>
          </w:p>
          <w:p>
            <w:pPr/>
            <w:r>
              <w:rPr/>
              <w:t xml:space="preserve">Steven has represented private companies and public corporations, universities, non-profit organizations, and other entities in internal and external workplace investigations.  These investigations have included harassment claims, whistleblower claims, claims of fraud and other allegations of unlawful behavior.  Steven also has successfully defended management clients in Ohio and all across the country in complex employment and labor related disputes or investigations before various administrative agencies, including the Equal Employment Opportunity Commission, the Ohio Civil Rights Commission, the Ohio Department of Education, the Industrial Commission of Ohio, the Ohio Bureau of Workers’ Compensation, the Department of Labor and OSHA, the Food and Drug Administration, and the National Labor Relations Board.</w:t>
            </w:r>
          </w:p>
          <w:p>
            <w:pPr/>
            <w:r>
              <w:rPr/>
              <w:t xml:space="preserve">Steven has represented mom and pop as well as large, national companies in the technology, manufacturing, transportation, higher education, energy, food services, health care and nursing home industries with issues arising in the ever-increasing complex world of employment litigation and labor arbitrations. Steven possesses a wide-range and sophisticated knowledge and experience of both federal and state law civil litigation – including the defense of management in various Title VII, Title IX, wrongful termination, discrimination, sexual harassment, retaliation, wage and hour, trade secret, health and safety, workers’ compensation and non-competition litigation.</w:t>
            </w:r>
          </w:p>
          <w:p>
            <w:pPr/>
            <w:r>
              <w:rPr/>
              <w:t xml:space="preserve">In addition to his national employment law litigation practice, Steven advises clients across the country in all aspects of employee relations, employment law and risk avoidance initiatives, including hiring and termination, discipline, employee handbook drafting, employee policy implementation and enforcement, litigation avoidance strategies and proactive compliance with diverse employment laws, rules and regulations. Steven also has presented over 250 labor and employment law seminars and training sessions to his clients and various trade associations, human resources groups, and chamber of commerce organizations.</w:t>
            </w:r>
          </w:p>
          <w:p>
            <w:pPr/>
            <w:r>
              <w:rPr/>
              <w:t xml:space="preserve">Steven also maintains a strong and robust union avoidance practice – having represented and counseled employers in Ohio, Indiana, Illinois, Kansas, South Dakota, Georgia, and Iowa in union organizing drives and/or secret ballot elections before the National Labor Relations Board. Steven takes great pride in the fact that all of his management side clients who were subject to secret ballot elections during his legal career remain undefeated and union free.</w:t>
            </w:r>
          </w:p>
          <w:p>
            <w:pPr/>
            <w:r>
              <w:rPr/>
              <w:t xml:space="preserve">Steven is admitted to practice in Ohio, the United States Supreme Court, the United States Court of Appeals for the Sixth Circuit, and the United States District Courts for the Northern and Southern Districts of Ohio. He has been admitted pro hac vice in several other state and federal jurisdictions across the country, including Florida, Nevada and Pennsylvania, to ensure protection of his clients’ interests.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Successfully defended ADA lawsuit against a home healthcare company by a former employee and had decision upheld unanimously by three-judge panel following appeal in U.S. Court of Appeals Fourth Circuit.</w:t>
      </w:r>
      <w:r>
        <w:t xml:space="preserve"> </w:t>
      </w:r>
    </w:p>
    <w:p w:rsidR="007F1EF5" w:rsidP="00C214F1" w:rsidRDefault="00C214F1">
      <w:pPr>
        <w:pStyle w:val="ListParagraph"/>
      </w:pPr>
      <w:r>
        <w:t>Obtained a directed verdict in a Workers’ Compensation appeal involving a silicosis claim filed by a former employer of a foundry located in Lorain, Ohio.</w:t>
      </w:r>
      <w:r>
        <w:t xml:space="preserve"> </w:t>
      </w:r>
    </w:p>
    <w:p w:rsidR="007F1EF5" w:rsidP="00C214F1" w:rsidRDefault="00C214F1">
      <w:pPr>
        <w:pStyle w:val="ListParagraph"/>
      </w:pPr>
      <w:r>
        <w:t>Successfully defended a national trucking company in an age-related discrimination case in federal court by receiving partial summary judgment and settling the remaining breach of contract claim for nuisance value.</w:t>
      </w:r>
      <w:r>
        <w:t xml:space="preserve"> </w:t>
      </w:r>
    </w:p>
    <w:p w:rsidR="007F1EF5" w:rsidP="00C214F1" w:rsidRDefault="00C214F1">
      <w:pPr>
        <w:pStyle w:val="ListParagraph"/>
      </w:pPr>
      <w:r>
        <w:t>Successfully defended an employer in a sexual harassment case alleging quid pro quo and hostile work environment. Due to an aggressive defense approach, the matter was resolved for nuisance value.</w:t>
      </w:r>
      <w:r>
        <w:t xml:space="preserve"> </w:t>
      </w:r>
    </w:p>
    <w:p w:rsidR="007F1EF5" w:rsidP="00C214F1" w:rsidRDefault="00C214F1">
      <w:pPr>
        <w:pStyle w:val="ListParagraph"/>
      </w:pPr>
      <w:r>
        <w:t>Conducted several independent investigations for employers to minimize various levels of litigation liabilities.</w:t>
      </w:r>
      <w:r>
        <w:t xml:space="preserve"> </w:t>
      </w:r>
    </w:p>
    <w:p w:rsidR="007F1EF5" w:rsidP="00C214F1" w:rsidRDefault="00C214F1">
      <w:pPr>
        <w:pStyle w:val="ListParagraph"/>
      </w:pPr>
      <w:r>
        <w:t>Successfully defended union organizing campaigns for several employers – winning each and every secret ballot election.</w:t>
      </w:r>
      <w:r>
        <w:t xml:space="preserve"> </w:t>
      </w:r>
    </w:p>
    <w:p w:rsidR="007F1EF5" w:rsidP="00C214F1" w:rsidRDefault="00C214F1">
      <w:pPr>
        <w:pStyle w:val="ListParagraph"/>
      </w:pPr>
      <w:r>
        <w:t>Successfully defended a plush toy manufacturer from a multi-count discrimination/breach of contract case in federal court.</w:t>
      </w:r>
      <w:r>
        <w:t xml:space="preserve"> </w:t>
      </w:r>
    </w:p>
    <w:p w:rsidR="007F1EF5" w:rsidP="00C214F1" w:rsidRDefault="00C214F1">
      <w:pPr>
        <w:pStyle w:val="Heading2"/>
      </w:pPr>
      <w:r w:rsidRPr="009328C8">
        <w:t>BAR ADMISSIONS</w:t>
      </w:r>
    </w:p>
    <w:p w:rsidR="007F1EF5" w:rsidP="00C214F1" w:rsidRDefault="00C214F1">
      <w:pPr>
        <w:pStyle w:val="ListParagraph"/>
      </w:pPr>
      <w:r>
        <w:t>State of Ohio, 1999</w:t>
      </w:r>
      <w:r>
        <w:t xml:space="preserve"> </w:t>
      </w:r>
    </w:p>
    <w:p w:rsidR="007F1EF5" w:rsidP="00C214F1" w:rsidRDefault="00C214F1">
      <w:pPr>
        <w:pStyle w:val="ListParagraph"/>
      </w:pPr>
      <w:r>
        <w:t>U.S. Court of Appeals for the Fourth and Sixth Circuits</w:t>
      </w:r>
      <w:r>
        <w:t xml:space="preserve"> </w:t>
      </w:r>
    </w:p>
    <w:p w:rsidR="007F1EF5" w:rsidP="00C214F1" w:rsidRDefault="00C214F1">
      <w:pPr>
        <w:pStyle w:val="ListParagraph"/>
      </w:pPr>
      <w:r>
        <w:t>U.S. District Court for the Northern District of Ohio, Eastern Division</w:t>
      </w:r>
      <w:r>
        <w:t xml:space="preserve"> </w:t>
      </w:r>
    </w:p>
    <w:p w:rsidR="007F1EF5" w:rsidP="00C214F1" w:rsidRDefault="00C214F1">
      <w:pPr>
        <w:pStyle w:val="ListParagraph"/>
      </w:pPr>
      <w:r>
        <w:t>U.S. Supreme Court</w:t>
      </w:r>
      <w:r>
        <w:t xml:space="preserve"> </w:t>
      </w:r>
    </w:p>
    <w:p w:rsidR="007F1EF5" w:rsidP="00C214F1" w:rsidRDefault="00C214F1">
      <w:pPr>
        <w:pStyle w:val="ListParagraph"/>
      </w:pPr>
      <w:r>
        <w:t>Admitted to practice, pro hac vice, before the U.S. District Courts for the District of Nevada, the District of Rhode Island, the District of Connecticut, the District of Nebraska, the Eastern District of Pennsylvania, the Western District of Missouri, the Eastern District of Virginia and before the Circuit Court of Ninth Judicial Circuit, Division 34, Orange County, Florida</w:t>
      </w:r>
      <w:r>
        <w:t xml:space="preserve"> </w:t>
      </w:r>
    </w:p>
    <w:p w:rsidR="007F1EF5" w:rsidP="00C214F1" w:rsidRDefault="00C214F1">
      <w:pPr>
        <w:pStyle w:val="Heading2"/>
      </w:pPr>
      <w:r w:rsidRPr="009328C8">
        <w:t>EDUCATION</w:t>
      </w:r>
    </w:p>
    <w:p w:rsidR="007F1EF5" w:rsidP="00C214F1" w:rsidRDefault="00C214F1">
      <w:pPr>
        <w:pStyle w:val="ListParagraph"/>
      </w:pPr>
      <w:r>
        <w:t>Cleveland Marshall College of Law, J.D., </w:t>
      </w:r>
      <w:r>
        <w:t xml:space="preserve"> </w:t>
      </w:r>
      <w:r>
        <w:rPr>
          <w:i/>
        </w:rPr>
        <w:t>magna cum laude</w:t>
      </w:r>
      <w:r>
        <w:t xml:space="preserve"> </w:t>
      </w:r>
      <w:r>
        <w:t>, 1998</w:t>
      </w:r>
      <w:r>
        <w:t xml:space="preserve"> </w:t>
      </w:r>
    </w:p>
    <w:p w:rsidR="007F1EF5" w:rsidP="00C214F1" w:rsidRDefault="00C214F1">
      <w:pPr>
        <w:ind w:left="705"/>
      </w:pPr>
      <w:r>
        <w:t>Cleveland State University Law Review, Associate Member; Cleveland Marshall Alumni Scholarship; Federal Bar Association's Outstanding Student in Constitutional Law; CALI Award for Excellence in Labor Law, Advanced Legal Writing, Constitutional Law and Corporations</w:t>
      </w:r>
      <w:r>
        <w:t xml:space="preserve"> </w:t>
      </w:r>
    </w:p>
    <w:p w:rsidR="007F1EF5" w:rsidP="00C214F1" w:rsidRDefault="00C214F1">
      <w:pPr>
        <w:pStyle w:val="ListParagraph"/>
      </w:pPr>
      <w:r>
        <w:t>Bowling Green State University, B.S., </w:t>
      </w:r>
      <w:r>
        <w:t xml:space="preserve"> </w:t>
      </w:r>
      <w:r>
        <w:rPr>
          <w:i/>
        </w:rPr>
        <w:t>magna cum laude</w:t>
      </w:r>
      <w:r>
        <w:t xml:space="preserve"> </w:t>
      </w:r>
      <w:r>
        <w:t>, 1993</w:t>
      </w:r>
      <w:r>
        <w:t xml:space="preserve"> </w:t>
      </w:r>
    </w:p>
    <w:p w:rsidR="007F1EF5" w:rsidP="00C214F1" w:rsidRDefault="00C214F1">
      <w:pPr>
        <w:pStyle w:val="Heading2"/>
      </w:pPr>
      <w:r w:rsidRPr="009328C8">
        <w:t>AWARDS &amp; HONORS</w:t>
      </w:r>
    </w:p>
    <w:p w:rsidR="007F1EF5" w:rsidP="00C214F1" w:rsidRDefault="00C214F1">
      <w:pPr>
        <w:pStyle w:val="ListParagraph"/>
      </w:pPr>
      <w:r>
        <w:t>ChambersUSA, Labor &amp; Employment, 2018-19, 2023-24</w:t>
      </w:r>
      <w:r>
        <w:t xml:space="preserve"> </w:t>
      </w:r>
    </w:p>
    <w:p w:rsidR="007F1EF5" w:rsidP="00C214F1" w:rsidRDefault="00C214F1">
      <w:pPr>
        <w:pStyle w:val="ListParagraph"/>
      </w:pPr>
      <w:r>
        <w:t>The Best Lawyers in America©, Litigation – Labor and Employment, 2024-25, Employment Law – Management, 2025</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Answering the Top 10 Questions Employers Have About the COVID-19 Vaccine</w:t>
      </w:r>
      <w:r>
        <w:t xml:space="preserve"> </w:t>
      </w:r>
    </w:p>
    <w:p w:rsidR="007F1EF5" w:rsidP="00C214F1" w:rsidRDefault="00C214F1">
      <w:pPr>
        <w:pStyle w:val="ListParagraph"/>
      </w:pPr>
      <w:r>
        <w:t>New York Labor Law Creates Joint  Liability for Construction Contractors</w:t>
      </w:r>
      <w:r>
        <w:t xml:space="preserve"> </w:t>
      </w:r>
    </w:p>
    <w:p w:rsidR="007F1EF5" w:rsidP="00C214F1" w:rsidRDefault="00C214F1">
      <w:pPr>
        <w:pStyle w:val="ListParagraph"/>
      </w:pPr>
      <w:r>
        <w:t>Federal Contractor and Subcontractor COVID-19 Guidance</w:t>
      </w:r>
      <w:r>
        <w:t xml:space="preserve"> </w:t>
      </w:r>
    </w:p>
    <w:p w:rsidR="007F1EF5" w:rsidP="00C214F1" w:rsidRDefault="00C214F1">
      <w:pPr>
        <w:pStyle w:val="ListParagraph"/>
      </w:pPr>
      <w:r>
        <w:t>OSHA Emergency Temporary Standard Highlights</w:t>
      </w:r>
      <w:r>
        <w:t xml:space="preserve"> </w:t>
      </w:r>
    </w:p>
    <w:p w:rsidR="007F1EF5" w:rsidP="00C214F1" w:rsidRDefault="00C214F1">
      <w:pPr>
        <w:pStyle w:val="ListParagraph"/>
      </w:pPr>
      <w:r>
        <w:t>Sixth Circuit Selected to Review OSHA’s Vaccine-or-Testing Workplace Rule</w:t>
      </w:r>
      <w:r>
        <w:t xml:space="preserve"> </w:t>
      </w:r>
    </w:p>
    <w:p w:rsidR="007F1EF5" w:rsidP="00C214F1" w:rsidRDefault="00C214F1">
      <w:pPr>
        <w:pStyle w:val="ListParagraph"/>
      </w:pPr>
      <w:r>
        <w:t>Preliminary Injunction Granted for Federal Contractor Mandate</w:t>
      </w:r>
      <w:r>
        <w:t xml:space="preserve"> </w:t>
      </w:r>
    </w:p>
    <w:p w:rsidR="007F1EF5" w:rsidP="00C214F1" w:rsidRDefault="00C214F1">
      <w:pPr>
        <w:pStyle w:val="ListParagraph"/>
      </w:pPr>
      <w:r>
        <w:t>Sixth Circuit Restores OSHA’s Vaccine-Or-Test Mandate</w:t>
      </w:r>
      <w:r>
        <w:t xml:space="preserve"> </w:t>
      </w:r>
    </w:p>
    <w:p w:rsidR="007F1EF5" w:rsidP="00C214F1" w:rsidRDefault="00C214F1">
      <w:pPr>
        <w:pStyle w:val="ListParagraph"/>
      </w:pPr>
      <w:r>
        <w:t>How to Comply With Vaccine-or-Test Requirements when Compliance May Be Beyond Your Control</w:t>
      </w:r>
      <w:r>
        <w:t xml:space="preserve"> </w:t>
      </w:r>
    </w:p>
    <w:p w:rsidR="007F1EF5" w:rsidP="00C214F1" w:rsidRDefault="00C214F1">
      <w:pPr>
        <w:pStyle w:val="ListParagraph"/>
      </w:pPr>
      <w:r>
        <w:t>Supreme Court Blocks OSHA’s Vaccine-or-Test Rule for Large Employers, Upholds Mandate for Healthcare Workers</w:t>
      </w:r>
      <w:r>
        <w:t xml:space="preserve"> </w:t>
      </w:r>
    </w:p>
    <w:p w:rsidR="007F1EF5" w:rsidP="00C214F1" w:rsidRDefault="00C214F1">
      <w:pPr>
        <w:pStyle w:val="ListParagraph"/>
      </w:pPr>
      <w:r>
        <w:t>OSHA Withdraws Emergency Vaccine-Or-Test Rule, Continues to Develop Permanent Standard</w:t>
      </w:r>
      <w:r>
        <w:t xml:space="preserve"> </w:t>
      </w:r>
    </w:p>
    <w:p w:rsidR="007F1EF5" w:rsidP="00C214F1" w:rsidRDefault="00C214F1">
      <w:pPr>
        <w:pStyle w:val="ListParagraph"/>
      </w:pPr>
      <w:r>
        <w:t>U.S. Department of Labor Announces Overhaul of Prevailing Wage Rules</w:t>
      </w:r>
      <w:r>
        <w:t xml:space="preserve"> </w:t>
      </w:r>
    </w:p>
    <w:p w:rsidR="007F1EF5" w:rsidP="00C214F1" w:rsidRDefault="00C214F1">
      <w:pPr>
        <w:pStyle w:val="ListParagraph"/>
      </w:pPr>
      <w:r>
        <w:t>Navigating Employment Law in 2023</w:t>
      </w:r>
      <w:r>
        <w:t xml:space="preserve"> </w:t>
      </w:r>
    </w:p>
    <w:p w:rsidR="007F1EF5" w:rsidP="00C214F1" w:rsidRDefault="00C214F1">
      <w:pPr>
        <w:pStyle w:val="Heading2"/>
      </w:pPr>
      <w:r w:rsidRPr="009328C8">
        <w:t>MEMBERSHIPS &amp; AFFILIATIONS</w:t>
      </w:r>
    </w:p>
    <w:p w:rsidR="007F1EF5" w:rsidP="00C214F1" w:rsidRDefault="00C214F1">
      <w:pPr>
        <w:pStyle w:val="ListParagraph"/>
      </w:pPr>
      <w:r>
        <w:t>Ohio State Bar Association, Member</w:t>
      </w:r>
      <w:r>
        <w:t xml:space="preserve"> </w:t>
      </w:r>
    </w:p>
    <w:p w:rsidR="007F1EF5" w:rsidP="00C214F1" w:rsidRDefault="00C214F1">
      <w:pPr>
        <w:pStyle w:val="ListParagraph"/>
      </w:pPr>
      <w:r>
        <w:t>Cleveland Bar Association, Member</w:t>
      </w:r>
      <w:r>
        <w:t xml:space="preserve"> </w:t>
      </w:r>
    </w:p>
    <w:p w:rsidR="007F1EF5" w:rsidP="00C214F1" w:rsidRDefault="00C214F1">
      <w:pPr>
        <w:pStyle w:val="ListParagraph"/>
      </w:pPr>
      <w:r>
        <w:t>Bowling Green State University’s Alumni Association, Member</w:t>
      </w:r>
      <w:r>
        <w:t xml:space="preserve"> </w:t>
      </w:r>
    </w:p>
    <w:p w:rsidR="007F1EF5" w:rsidP="00C214F1" w:rsidRDefault="00C214F1">
      <w:pPr>
        <w:pStyle w:val="ListParagraph"/>
      </w:pPr>
      <w:r>
        <w:t>Association of Independent Colleges &amp; Universities of Ohio (AICUO), Member</w:t>
      </w:r>
      <w:r>
        <w:t xml:space="preserve"> </w:t>
      </w:r>
    </w:p>
    <w:p w:rsidR="007F1EF5" w:rsidP="00C214F1" w:rsidRDefault="00C214F1">
      <w:pPr>
        <w:pStyle w:val="Heading2"/>
      </w:pPr>
      <w:r w:rsidRPr="009328C8">
        <w:t>COMMUNITY INVOLVEMENT</w:t>
      </w:r>
    </w:p>
    <w:p w:rsidR="007F1EF5" w:rsidP="00C214F1" w:rsidRDefault="00C214F1">
      <w:pPr>
        <w:pStyle w:val="ListParagraph"/>
      </w:pPr>
      <w:r>
        <w:t>ALS Association Northeast Ohio Chapter (Amyotrophic Lateral Sclerosis), Volunteer Member</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and Parks LLP, 2007-present; Board of Directors, 2023-present; Associate, 2002-06.</w:t>
      </w:r>
      <w:r>
        <w:t xml:space="preserve"> </w:t>
      </w:r>
    </w:p>
    <w:p w:rsidR="007F1EF5" w:rsidP="00C214F1" w:rsidRDefault="00C214F1">
      <w:pPr>
        <w:pStyle w:val="ListParagraph"/>
      </w:pPr>
      <w:r>
        <w:t>Associate, Jones Day Reavis and Pogue, 1998-2002.</w:t>
      </w:r>
      <w:r>
        <w:t xml:space="preserve"> </w:t>
      </w:r>
    </w:p>
    <w:p w:rsidR="007F1EF5" w:rsidP="00C214F1" w:rsidRDefault="00C214F1">
      <w:pPr>
        <w:pStyle w:val="ListParagraph"/>
      </w:pPr>
      <w:r>
        <w:t>Summer Associate, Duvin Cahn and Hutton, 1997.</w:t>
      </w:r>
      <w:r>
        <w:t xml:space="preserve"> </w:t>
      </w:r>
    </w:p>
    <w:p w:rsidR="007F1EF5" w:rsidP="00C214F1" w:rsidRDefault="00C214F1">
      <w:pPr>
        <w:pStyle w:val="ListParagraph"/>
      </w:pPr>
      <w:r>
        <w:t>Law Clerk, Shaker Heights Law Department, Prosecutor’s Office, 1996-97.</w:t>
      </w:r>
      <w:r>
        <w:t xml:space="preserve"> </w:t>
      </w:r>
    </w:p>
    <w:p w:rsidR="007F1EF5" w:rsidP="00C214F1" w:rsidRDefault="00C214F1">
      <w:pPr>
        <w:pStyle w:val="ListParagraph"/>
      </w:pPr>
      <w:r>
        <w:t>Legislative Research and Policy Associate, Ohio House of Representatives, Minority Leader Patrick A. Sweeney, 1994-95.</w:t>
      </w:r>
      <w:r>
        <w:t xml:space="preserve"> </w:t>
      </w:r>
    </w:p>
    <w:p w:rsidR="007F1EF5" w:rsidP="00C214F1" w:rsidRDefault="00C214F1">
      <w:pPr>
        <w:pStyle w:val="ListParagraph"/>
      </w:pPr>
      <w:r>
        <w:t>Legislative Aide, Ohio Legislative Service Commission, House Speaker Vernal G. Riffe, 1994.</w:t>
      </w:r>
      <w:r>
        <w:t xml:space="preserve"> </w:t>
      </w:r>
    </w:p>
    <w:p w:rsidR="007F1EF5" w:rsidP="00C214F1" w:rsidRDefault="00C214F1">
      <w:pPr>
        <w:pStyle w:val="ListParagraph"/>
      </w:pPr>
      <w:r>
        <w:t>Claims Adjuster, Shelby Insurance Group, 1993.</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