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Ryan T.  Johnson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312.637.3063</w:t>
            </w:r>
            <w:br/>
            <w:r>
              <w:rPr>
                <w:color w:val="337CB4"/>
              </w:rPr>
              <w:t xml:space="preserve">email </w:t>
            </w:r>
            <w:r>
              <w:rPr/>
              <w:t xml:space="preserve"> rjohnson@hahnlaw.com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 Complex Commercial Litigation, Real Estate, Tort Litigation</w:t>
            </w:r>
          </w:p>
        </w:tc>
      </w:tr>
    </w:tbl>
    <w:tbl>
      <w:tblGrid>
        <w:gridCol/>
      </w:tblGrid>
      <w:tr>
        <w:trPr/>
        <w:tc>
          <w:tcPr>
            <w:noWrap/>
          </w:tcPr>
          <w:p>
            <w:pPr/>
            <w:r>
              <w:rPr/>
              <w:t xml:space="preserve">Partner Ryan T. Johnson concentrates his practice in the areas of construction law, professional liability, and complex commercial litigation. Ryan has over 15 years of experience successfully representing clients in construction related matters in Illinois and nationally, including jury and bench trials in state and federal courts as well as arbitration proceedings. In addition to dispute resolution, Ryan also engages in contract negotiations, contracting drafting and business counseling on behalf of his clients.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U.S. District Court, Northern District of Illinois</w:t>
      </w:r>
      <w:r>
        <w:t xml:space="preserve"> </w:t>
      </w:r>
    </w:p>
    <w:p w:rsidR="007F1EF5" w:rsidP="00C214F1" w:rsidRDefault="00C214F1">
      <w:pPr>
        <w:pStyle w:val="ListParagraph"/>
      </w:pPr>
      <w:r>
        <w:t>U.S. District Court, Northern District of Indiana</w:t>
      </w:r>
      <w:r>
        <w:t xml:space="preserve"> </w:t>
      </w:r>
    </w:p>
    <w:p w:rsidR="007F1EF5" w:rsidP="00C214F1" w:rsidRDefault="00C214F1">
      <w:pPr>
        <w:pStyle w:val="ListParagraph"/>
      </w:pPr>
      <w:r>
        <w:t>U.S. District Court, Central District of Illinois</w:t>
      </w:r>
      <w:r>
        <w:t xml:space="preserve"> </w:t>
      </w:r>
    </w:p>
    <w:p w:rsidR="007F1EF5" w:rsidP="00C214F1" w:rsidRDefault="00C214F1">
      <w:pPr>
        <w:pStyle w:val="Heading2"/>
      </w:pPr>
      <w:r w:rsidRPr="009328C8">
        <w:t>EDUCATION</w:t>
      </w:r>
    </w:p>
    <w:p w:rsidR="007F1EF5" w:rsidP="00C214F1" w:rsidRDefault="00C214F1">
      <w:pPr>
        <w:pStyle w:val="ListParagraph"/>
      </w:pPr>
      <w:r>
        <w:t>Drake University Law School, J.D., 2003</w:t>
      </w:r>
      <w:r>
        <w:t xml:space="preserve"> </w:t>
      </w:r>
    </w:p>
    <w:p w:rsidR="007F1EF5" w:rsidP="00C214F1" w:rsidRDefault="00C214F1">
      <w:pPr>
        <w:pStyle w:val="ListParagraph"/>
      </w:pPr>
      <w:r>
        <w:t>University of Iowa, B.A., English, 2000</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Construction Law, 2025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Cook County Bar Association</w:t>
      </w:r>
      <w:r>
        <w:t xml:space="preserve"> </w:t>
      </w:r>
    </w:p>
    <w:p w:rsidR="007F1EF5" w:rsidP="00C214F1" w:rsidRDefault="00C214F1">
      <w:pPr>
        <w:pStyle w:val="ListParagraph"/>
      </w:pPr>
      <w:r>
        <w:t>Defense Research Institute</w:t>
      </w:r>
      <w:r>
        <w:t xml:space="preserve"> </w:t>
      </w:r>
    </w:p>
    <w:p w:rsidR="007F1EF5" w:rsidP="00C214F1" w:rsidRDefault="00C214F1">
      <w:pPr>
        <w:pStyle w:val="ListParagraph"/>
      </w:pPr>
      <w:r>
        <w:t>Illinois Association of Defense Trial Counsel</w:t>
      </w:r>
      <w:r>
        <w:t xml:space="preserve"> </w:t>
      </w:r>
    </w:p>
    <w:p w:rsidR="007F1EF5" w:rsidP="00C214F1" w:rsidRDefault="00C214F1">
      <w:pPr>
        <w:pStyle w:val="ListParagraph"/>
      </w:pPr>
      <w:r>
        <w:t>Society of Illinois Construction Attorneys</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 – present</w:t>
      </w:r>
      <w:r>
        <w:t xml:space="preserve"> </w:t>
      </w:r>
    </w:p>
    <w:p w:rsidR="007F1EF5" w:rsidP="00C214F1" w:rsidRDefault="00C214F1">
      <w:pPr>
        <w:pStyle w:val="ListParagraph"/>
      </w:pPr>
      <w:r>
        <w:t>Partner, Robbins DiMonte, Ltd., 2019 – 2023</w:t>
      </w:r>
      <w:r>
        <w:t xml:space="preserve"> </w:t>
      </w:r>
    </w:p>
    <w:p w:rsidR="007F1EF5" w:rsidP="00C214F1" w:rsidRDefault="00C214F1">
      <w:pPr>
        <w:pStyle w:val="ListParagraph"/>
      </w:pPr>
      <w:r>
        <w:t>Partner, Schuyler, Roche &amp; Crisham, P.C., 2009 – 2019</w:t>
      </w:r>
      <w:r>
        <w:t xml:space="preserve"> </w:t>
      </w:r>
    </w:p>
    <w:p>
      <w:r>
        <w:t>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