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Michael R. Whitt</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844.306.6010</w:t>
            </w:r>
            <w:br/>
            <w:r>
              <w:rPr>
                <w:color w:val="337CB4"/>
              </w:rPr>
              <w:t xml:space="preserve">email </w:t>
            </w:r>
            <w:r>
              <w:rPr/>
              <w:t xml:space="preserve"> mwhitt@hahnlaw.com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2400 First Street</w:t>
            </w:r>
            <w:r>
              <w:rPr/>
              <w:t xml:space="preserve">
                <w:br/>
              </w:t>
            </w:r>
            <w:r>
              <w:rPr/>
              <w:t xml:space="preserve">Suite 300</w:t>
            </w:r>
            <w:r>
              <w:rPr/>
              <w:t xml:space="preserve">
                <w:br/>
              </w:t>
            </w:r>
            <w:r>
              <w:rPr/>
              <w:t xml:space="preserve">Fort Myers, Florida 33901</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Real Estate, Real Estate Industry Services, Eminent Domain</w:t>
            </w:r>
          </w:p>
        </w:tc>
      </w:tr>
    </w:tbl>
    <w:tbl>
      <w:tblGrid>
        <w:gridCol/>
      </w:tblGrid>
      <w:tr>
        <w:trPr/>
        <w:tc>
          <w:tcPr>
            <w:noWrap/>
          </w:tcPr>
          <w:p>
            <w:pPr/>
            <w:r>
              <w:rPr/>
              <w:t xml:space="preserve">Michael R. Whitt is a trial-tested attorney with over 35 years of experience, concentrating his trial practice in the areas of eminent domain, inverse condemnation, and business and real estate disputes. Mike’s experience includes a wide array of business and real estate litigation, including eminent domain, zoning and land use, boundary and title disputes, inverse condemnation and other property right matters. Mike is Board Certified by The Florida Bar as a Specialist in Business Litigation. In these areas, and throughout the trial process, Mike has counseled individuals and small businesses, as well as Fortune 100 companies, and foreign individuals and businesses.</w:t>
            </w:r>
          </w:p>
          <w:p>
            <w:pPr/>
            <w:r>
              <w:rPr/>
              <w:t xml:space="preserve">Mike leverages his deep understanding of eminent domain laws and his knowledge of government and construction regulations to counsel his clients through all stages of the eminent domain process, from initial acquisition procedures through litigation, in an effort to maximize the compensation they receive.</w:t>
            </w:r>
          </w:p>
          <w:p>
            <w:pPr>
              <w:pStyle w:val="Heading2"/>
            </w:pPr>
            <w:r>
              <w:rPr/>
              <w:t xml:space="preserve">Representation</w:t>
            </w:r>
          </w:p>
          <w:p>
            <w:pPr/>
            <w:r>
              <w:rPr/>
              <w:t xml:space="preserve">Mike has litigated cases dealing with condemnation, inverse condemnation, Bert J. Harris Private Property Rights Protection Act, Florida Land Use and Environmental Dispute Resolution Act and Administrative proceedings throughout Florida.</w:t>
            </w:r>
          </w:p>
          <w:p>
            <w:pPr/>
            <w:r>
              <w:rPr/>
              <w:t xml:space="preserve">These cases involved myriad governmental and quasi-governmental claims and disputes including road right-of-way, gas transmissions lines, electrical powerlines, flood control and storm water management, public parks, schools, municipal water and wastewater projects, sewer projects and noise walls.</w:t>
            </w:r>
          </w:p>
          <w:p>
            <w:pPr/>
            <w:r>
              <w:rPr/>
              <w:t xml:space="preserve">Mike has experience representing clients in eminent domain cases in Florida against the following condemning authorities:</w:t>
            </w:r>
          </w:p>
          <w:p>
            <w:pPr/>
          </w:p>
          <w:p>
            <w:pPr/>
            <w:r>
              <w:rPr/>
              <w:t xml:space="preserve"> </w:t>
            </w:r>
          </w:p>
          <w:tbl>
            <w:tblGrid>
              <w:gridCol/>
              <w:gridCol/>
            </w:tblGrid>
            <w:tblPr>
              <w:tblW w:w="0" w:type="auto"/>
              <w:tblLayout w:type="autofit"/>
            </w:tblPr>
            <w:tr>
              <w:trPr/>
              <w:tc>
                <w:tcPr>
                  <w:noWrap/>
                </w:tcPr>
                <w:p>
                  <w:pPr>
                    <w:numPr>
                      <w:ilvl w:val="0"/>
                      <w:numId w:val="1"/>
                    </w:numPr>
                  </w:pPr>
                  <w:hyperlink r:id="rId7" w:history="1">
                    <w:r>
                      <w:rPr/>
                      <w:t xml:space="preserve">Brevard County</w:t>
                    </w:r>
                  </w:hyperlink>
                </w:p>
                <w:p>
                  <w:pPr>
                    <w:numPr>
                      <w:ilvl w:val="0"/>
                      <w:numId w:val="1"/>
                    </w:numPr>
                  </w:pPr>
                  <w:hyperlink r:id="rId8" w:history="1">
                    <w:r>
                      <w:rPr/>
                      <w:t xml:space="preserve">City of Bonita Springs</w:t>
                    </w:r>
                  </w:hyperlink>
                </w:p>
                <w:p>
                  <w:pPr>
                    <w:numPr>
                      <w:ilvl w:val="0"/>
                      <w:numId w:val="1"/>
                    </w:numPr>
                  </w:pPr>
                  <w:hyperlink r:id="rId9" w:history="1">
                    <w:r>
                      <w:rPr/>
                      <w:t xml:space="preserve">City of Cape Coral</w:t>
                    </w:r>
                  </w:hyperlink>
                </w:p>
                <w:p>
                  <w:pPr>
                    <w:numPr>
                      <w:ilvl w:val="0"/>
                      <w:numId w:val="1"/>
                    </w:numPr>
                  </w:pPr>
                  <w:hyperlink r:id="rId10" w:history="1">
                    <w:r>
                      <w:rPr/>
                      <w:t xml:space="preserve">City of Fort Lauderdale</w:t>
                    </w:r>
                  </w:hyperlink>
                </w:p>
                <w:p>
                  <w:pPr>
                    <w:numPr>
                      <w:ilvl w:val="0"/>
                      <w:numId w:val="1"/>
                    </w:numPr>
                  </w:pPr>
                  <w:hyperlink r:id="rId11" w:history="1">
                    <w:r>
                      <w:rPr/>
                      <w:t xml:space="preserve">City of Fort Myers</w:t>
                    </w:r>
                  </w:hyperlink>
                </w:p>
                <w:p>
                  <w:pPr>
                    <w:numPr>
                      <w:ilvl w:val="0"/>
                      <w:numId w:val="1"/>
                    </w:numPr>
                  </w:pPr>
                  <w:hyperlink r:id="rId12" w:history="1">
                    <w:r>
                      <w:rPr/>
                      <w:t xml:space="preserve">City of Jacksonville</w:t>
                    </w:r>
                  </w:hyperlink>
                </w:p>
                <w:p>
                  <w:pPr>
                    <w:numPr>
                      <w:ilvl w:val="0"/>
                      <w:numId w:val="1"/>
                    </w:numPr>
                  </w:pPr>
                  <w:hyperlink r:id="rId13" w:history="1">
                    <w:r>
                      <w:rPr/>
                      <w:t xml:space="preserve">City of Tampa</w:t>
                    </w:r>
                  </w:hyperlink>
                </w:p>
                <w:p>
                  <w:pPr>
                    <w:numPr>
                      <w:ilvl w:val="0"/>
                      <w:numId w:val="1"/>
                    </w:numPr>
                  </w:pPr>
                  <w:hyperlink r:id="rId14" w:history="1">
                    <w:r>
                      <w:rPr/>
                      <w:t xml:space="preserve">Charlotte County</w:t>
                    </w:r>
                  </w:hyperlink>
                </w:p>
                <w:p>
                  <w:pPr>
                    <w:numPr>
                      <w:ilvl w:val="0"/>
                      <w:numId w:val="1"/>
                    </w:numPr>
                  </w:pPr>
                  <w:hyperlink r:id="rId15" w:history="1">
                    <w:r>
                      <w:rPr/>
                      <w:t xml:space="preserve">Charlotte County School Board</w:t>
                    </w:r>
                  </w:hyperlink>
                </w:p>
                <w:p>
                  <w:pPr>
                    <w:numPr>
                      <w:ilvl w:val="0"/>
                      <w:numId w:val="1"/>
                    </w:numPr>
                  </w:pPr>
                  <w:hyperlink r:id="rId16" w:history="1">
                    <w:r>
                      <w:rPr/>
                      <w:t xml:space="preserve">Duke Energy</w:t>
                    </w:r>
                  </w:hyperlink>
                </w:p>
                <w:p>
                  <w:pPr>
                    <w:numPr>
                      <w:ilvl w:val="0"/>
                      <w:numId w:val="1"/>
                    </w:numPr>
                  </w:pPr>
                  <w:hyperlink r:id="rId17" w:history="1">
                    <w:r>
                      <w:rPr/>
                      <w:t xml:space="preserve">Florida Department of Transportation</w:t>
                    </w:r>
                  </w:hyperlink>
                </w:p>
                <w:p>
                  <w:pPr>
                    <w:numPr>
                      <w:ilvl w:val="0"/>
                      <w:numId w:val="1"/>
                    </w:numPr>
                  </w:pPr>
                  <w:r>
                    <w:rPr/>
                    <w:t xml:space="preserve">Florida Gas Transmission Line</w:t>
                  </w:r>
                </w:p>
                <w:p>
                  <w:pPr>
                    <w:numPr>
                      <w:ilvl w:val="0"/>
                      <w:numId w:val="1"/>
                    </w:numPr>
                  </w:pPr>
                  <w:hyperlink r:id="rId18" w:history="1">
                    <w:r>
                      <w:rPr/>
                      <w:t xml:space="preserve">Florida Power and Light</w:t>
                    </w:r>
                  </w:hyperlink>
                </w:p>
                <w:p>
                  <w:pPr>
                    <w:numPr>
                      <w:ilvl w:val="0"/>
                      <w:numId w:val="1"/>
                    </w:numPr>
                  </w:pPr>
                  <w:hyperlink r:id="rId19" w:history="1">
                    <w:r>
                      <w:rPr/>
                      <w:t xml:space="preserve">Florida’s Turnpike</w:t>
                    </w:r>
                  </w:hyperlink>
                </w:p>
                <w:p>
                  <w:pPr>
                    <w:numPr>
                      <w:ilvl w:val="0"/>
                      <w:numId w:val="1"/>
                    </w:numPr>
                  </w:pPr>
                  <w:hyperlink r:id="rId20" w:history="1">
                    <w:r>
                      <w:rPr/>
                      <w:t xml:space="preserve">Hendry County</w:t>
                    </w:r>
                  </w:hyperlink>
                </w:p>
              </w:tc>
              <w:tc>
                <w:tcPr>
                  <w:noWrap/>
                </w:tcPr>
                <w:p>
                  <w:pPr>
                    <w:numPr>
                      <w:ilvl w:val="0"/>
                      <w:numId w:val="2"/>
                    </w:numPr>
                  </w:pPr>
                  <w:hyperlink r:id="rId21" w:history="1">
                    <w:r>
                      <w:rPr/>
                      <w:t xml:space="preserve">Indian River County</w:t>
                    </w:r>
                  </w:hyperlink>
                </w:p>
                <w:p>
                  <w:pPr>
                    <w:numPr>
                      <w:ilvl w:val="0"/>
                      <w:numId w:val="2"/>
                    </w:numPr>
                  </w:pPr>
                  <w:hyperlink r:id="rId22" w:history="1">
                    <w:r>
                      <w:rPr/>
                      <w:t xml:space="preserve">Lee County</w:t>
                    </w:r>
                  </w:hyperlink>
                </w:p>
                <w:p>
                  <w:pPr>
                    <w:numPr>
                      <w:ilvl w:val="0"/>
                      <w:numId w:val="2"/>
                    </w:numPr>
                  </w:pPr>
                  <w:hyperlink r:id="rId23" w:history="1">
                    <w:r>
                      <w:rPr/>
                      <w:t xml:space="preserve">Lee County Electric Cooperative</w:t>
                    </w:r>
                  </w:hyperlink>
                </w:p>
                <w:p>
                  <w:pPr>
                    <w:numPr>
                      <w:ilvl w:val="0"/>
                      <w:numId w:val="2"/>
                    </w:numPr>
                  </w:pPr>
                  <w:hyperlink r:id="rId24" w:history="1">
                    <w:r>
                      <w:rPr/>
                      <w:t xml:space="preserve">Lee County School Board</w:t>
                    </w:r>
                  </w:hyperlink>
                </w:p>
                <w:p>
                  <w:pPr>
                    <w:numPr>
                      <w:ilvl w:val="0"/>
                      <w:numId w:val="2"/>
                    </w:numPr>
                  </w:pPr>
                  <w:hyperlink r:id="rId25" w:history="1">
                    <w:r>
                      <w:rPr/>
                      <w:t xml:space="preserve">Manatee County</w:t>
                    </w:r>
                  </w:hyperlink>
                </w:p>
                <w:p>
                  <w:pPr>
                    <w:numPr>
                      <w:ilvl w:val="0"/>
                      <w:numId w:val="2"/>
                    </w:numPr>
                  </w:pPr>
                  <w:hyperlink r:id="rId26" w:history="1">
                    <w:r>
                      <w:rPr/>
                      <w:t xml:space="preserve">Miami-Dade County</w:t>
                    </w:r>
                  </w:hyperlink>
                </w:p>
                <w:p>
                  <w:pPr>
                    <w:numPr>
                      <w:ilvl w:val="0"/>
                      <w:numId w:val="2"/>
                    </w:numPr>
                  </w:pPr>
                  <w:hyperlink r:id="rId27" w:history="1">
                    <w:r>
                      <w:rPr/>
                      <w:t xml:space="preserve">Okeechobee County</w:t>
                    </w:r>
                  </w:hyperlink>
                </w:p>
                <w:p>
                  <w:pPr>
                    <w:numPr>
                      <w:ilvl w:val="0"/>
                      <w:numId w:val="2"/>
                    </w:numPr>
                  </w:pPr>
                  <w:hyperlink r:id="rId28" w:history="1">
                    <w:r>
                      <w:rPr/>
                      <w:t xml:space="preserve">Orange County School Board</w:t>
                    </w:r>
                  </w:hyperlink>
                </w:p>
                <w:p>
                  <w:pPr>
                    <w:numPr>
                      <w:ilvl w:val="0"/>
                      <w:numId w:val="2"/>
                    </w:numPr>
                  </w:pPr>
                  <w:hyperlink r:id="rId29" w:history="1">
                    <w:r>
                      <w:rPr/>
                      <w:t xml:space="preserve">Osceola County</w:t>
                    </w:r>
                  </w:hyperlink>
                </w:p>
                <w:p>
                  <w:pPr>
                    <w:numPr>
                      <w:ilvl w:val="0"/>
                      <w:numId w:val="2"/>
                    </w:numPr>
                  </w:pPr>
                  <w:hyperlink r:id="rId30" w:history="1">
                    <w:r>
                      <w:rPr/>
                      <w:t xml:space="preserve">Palm Beach County</w:t>
                    </w:r>
                  </w:hyperlink>
                </w:p>
                <w:p>
                  <w:pPr>
                    <w:numPr>
                      <w:ilvl w:val="0"/>
                      <w:numId w:val="2"/>
                    </w:numPr>
                  </w:pPr>
                  <w:hyperlink r:id="rId31" w:history="1">
                    <w:r>
                      <w:rPr/>
                      <w:t xml:space="preserve">Pasco County</w:t>
                    </w:r>
                  </w:hyperlink>
                </w:p>
                <w:p>
                  <w:pPr>
                    <w:numPr>
                      <w:ilvl w:val="0"/>
                      <w:numId w:val="2"/>
                    </w:numPr>
                  </w:pPr>
                  <w:hyperlink r:id="rId32" w:history="1">
                    <w:r>
                      <w:rPr/>
                      <w:t xml:space="preserve">South Florida Water Management District</w:t>
                    </w:r>
                  </w:hyperlink>
                </w:p>
                <w:p>
                  <w:pPr>
                    <w:numPr>
                      <w:ilvl w:val="0"/>
                      <w:numId w:val="2"/>
                    </w:numPr>
                  </w:pPr>
                  <w:r>
                    <w:rPr/>
                    <w:t xml:space="preserve">St. Lucie County</w:t>
                  </w:r>
                </w:p>
                <w:p>
                  <w:pPr>
                    <w:numPr>
                      <w:ilvl w:val="0"/>
                      <w:numId w:val="2"/>
                    </w:numPr>
                  </w:pPr>
                  <w:hyperlink r:id="rId33" w:history="1">
                    <w:r>
                      <w:rPr/>
                      <w:t xml:space="preserve">Sabal Trail Gas Transmission Company</w:t>
                    </w:r>
                  </w:hyperlink>
                </w:p>
              </w:tc>
            </w:tr>
          </w:tbl>
          <w:p>
            <w:pP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1987</w:t>
      </w:r>
      <w:r>
        <w:t xml:space="preserve"> </w:t>
      </w:r>
    </w:p>
    <w:p w:rsidR="007F1EF5" w:rsidP="00C214F1" w:rsidRDefault="00C214F1">
      <w:pPr>
        <w:pStyle w:val="ListParagraph"/>
      </w:pPr>
      <w:r>
        <w:t>U.S. District Courts for the Middle, Northern, and Southern Districts of Florida; U.S. Court of Appeals for the Eleventh Circuit; U.S. Supreme Court</w:t>
      </w:r>
      <w:r>
        <w:t xml:space="preserve"> </w:t>
      </w:r>
    </w:p>
    <w:p w:rsidR="007F1EF5" w:rsidP="00C214F1" w:rsidRDefault="00C214F1">
      <w:pPr>
        <w:pStyle w:val="Heading2"/>
      </w:pPr>
      <w:r w:rsidRPr="009328C8">
        <w:t>EDUCATION</w:t>
      </w:r>
    </w:p>
    <w:p w:rsidR="007F1EF5" w:rsidP="00C214F1" w:rsidRDefault="00C214F1">
      <w:pPr>
        <w:pStyle w:val="ListParagraph"/>
      </w:pPr>
      <w:r>
        <w:t>Nova Southeastern University, J.D., 1987</w:t>
      </w:r>
      <w:r>
        <w:t xml:space="preserve"> </w:t>
      </w:r>
    </w:p>
    <w:p w:rsidR="007F1EF5" w:rsidP="00C214F1" w:rsidRDefault="00C214F1">
      <w:pPr>
        <w:pStyle w:val="ListParagraph"/>
      </w:pPr>
      <w:r>
        <w:t>Northern Kentucky University, B.S., 1984</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2023-25; Litigation – Real Estate, 2021-25; Eminent Domain and Condemnation Law, 2022-25; Real Estate Law, 2023-25</w:t>
      </w:r>
      <w:r>
        <w:t xml:space="preserve"> </w:t>
      </w:r>
    </w:p>
    <w:p w:rsidR="007F1EF5" w:rsidP="00C214F1" w:rsidRDefault="00C214F1">
      <w:pPr>
        <w:pStyle w:val="ListParagraph"/>
      </w:pPr>
      <w:r>
        <w:t>Florida Bar Board Certified Business Litigation Lawyer</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Top Lawyer, Naples Illustrated, Eminent Domain and Condemnation Law, 2021-24</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Eminent Domain Workshop</w:t>
      </w:r>
      <w:r>
        <w:t xml:space="preserve"> </w:t>
      </w:r>
    </w:p>
    <w:p w:rsidR="007F1EF5" w:rsidP="00C214F1" w:rsidRDefault="00C214F1">
      <w:pPr>
        <w:pStyle w:val="ListParagraph"/>
      </w:pPr>
      <w:r>
        <w:t>Florida Eminent Domain Law/Florida Land Use Law for Building Professionals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The Florida Bar, Eminent Domain Committee</w:t>
      </w:r>
      <w:r>
        <w:t xml:space="preserve"> </w:t>
      </w:r>
    </w:p>
    <w:p w:rsidR="007F1EF5" w:rsidP="00C214F1" w:rsidRDefault="00C214F1">
      <w:pPr>
        <w:pStyle w:val="ListParagraph"/>
      </w:pPr>
      <w:r>
        <w:t>Association of Eminent Domain Professionals, President, 2018-19</w:t>
      </w:r>
      <w:r>
        <w:t xml:space="preserve"> </w:t>
      </w:r>
    </w:p>
    <w:p w:rsidR="007F1EF5" w:rsidP="00C214F1" w:rsidRDefault="00C214F1">
      <w:pPr>
        <w:pStyle w:val="ListParagraph"/>
      </w:pPr>
      <w:r>
        <w:t>Southwest Florida Federal Bar Association, Member</w:t>
      </w:r>
      <w:r>
        <w:t xml:space="preserve"> </w:t>
      </w:r>
    </w:p>
    <w:p w:rsidR="007F1EF5" w:rsidP="00C214F1" w:rsidRDefault="00C214F1">
      <w:pPr>
        <w:pStyle w:val="ListParagraph"/>
      </w:pPr>
      <w:r>
        <w:t>Florida Bar Trial Lawyers Section</w:t>
      </w:r>
      <w:r>
        <w:t xml:space="preserve"> </w:t>
      </w:r>
    </w:p>
    <w:p w:rsidR="007F1EF5" w:rsidP="00C214F1" w:rsidRDefault="00C214F1">
      <w:pPr>
        <w:pStyle w:val="Heading2"/>
      </w:pPr>
      <w:r w:rsidRPr="009328C8">
        <w:t>COMMUNITY INVOLVEMENT</w:t>
      </w:r>
    </w:p>
    <w:p w:rsidR="007F1EF5" w:rsidP="00C214F1" w:rsidRDefault="00C214F1">
      <w:pPr>
        <w:pStyle w:val="ListParagraph"/>
      </w:pPr>
      <w:r>
        <w:t>Reciprocal Ministries International</w:t>
      </w:r>
      <w:r>
        <w:t xml:space="preserve"> </w:t>
      </w:r>
    </w:p>
    <w:p w:rsidR="007F1EF5" w:rsidP="00C214F1" w:rsidRDefault="00C214F1">
      <w:pPr>
        <w:pStyle w:val="ListParagraph"/>
      </w:pPr>
      <w:r>
        <w:t>McGregor Student Ministry</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2018-present</w:t>
      </w:r>
      <w:r>
        <w:t xml:space="preserve"> </w:t>
      </w:r>
    </w:p>
    <w:p w:rsidR="007F1EF5" w:rsidP="00C214F1" w:rsidRDefault="00C214F1">
      <w:pPr>
        <w:pStyle w:val="ListParagraph"/>
      </w:pPr>
      <w:r>
        <w:t>Partner, Robins Kaplan LLP, 2014-18</w:t>
      </w:r>
      <w:r>
        <w:t xml:space="preserve"> </w:t>
      </w:r>
    </w:p>
    <w:p w:rsidR="007F1EF5" w:rsidP="00C214F1" w:rsidRDefault="00C214F1">
      <w:pPr>
        <w:pStyle w:val="ListParagraph"/>
      </w:pPr>
      <w:r>
        <w:t>Partner, Becker &amp; Poliakoff, 1990-2014</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