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Matthew K. Grashoff</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216.274.2205</w:t>
            </w:r>
            <w:br/>
            <w:r>
              <w:rPr>
                <w:color w:val="337CB4"/>
              </w:rPr>
              <w:t xml:space="preserve">email </w:t>
            </w:r>
            <w:r>
              <w:rPr/>
              <w:t xml:space="preserve"> mgrashoff@hahnlaw.com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Appellate Advocacy, Real Estate Industry Services, Construction</w:t>
            </w:r>
          </w:p>
        </w:tc>
      </w:tr>
    </w:tbl>
    <w:tbl>
      <w:tblGrid>
        <w:gridCol/>
      </w:tblGrid>
      <w:tr>
        <w:trPr/>
        <w:tc>
          <w:tcPr>
            <w:noWrap/>
          </w:tcPr>
          <w:p>
            <w:pPr>
              <w:jc w:val="start"/>
            </w:pPr>
            <w:r>
              <w:rPr/>
              <w:t xml:space="preserve">Matthew K. Grashoff focuses his practice on construction law and commercial litigation and has experience in the areas of insurance coverage and appellate practice. Matt manages cases at all stages of the construction process, from bid disputes through project correspondence, scope disputes, change order disputes, alternative-dispute-resolution mechanisms such as dispute review boards and the ODOT step process, and lien and bond claims. He represents clients through all stages of litigation by taking and defending depositions, drafting and responding to dispositive motions, participating in jury trials, and obtaining successful results on appeal, as well as participating in all aspects of the arbitration process. Matt served as counsel to the Appellate Rules Committee of the Ohio Supreme Court Commission on the Rules of Practice and Procedure from 2015 to 2019.</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U.S. District Court for the Northern District of Ohio</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 </w:t>
      </w:r>
      <w:r>
        <w:t xml:space="preserve"> </w:t>
      </w:r>
      <w:r>
        <w:rPr>
          <w:i/>
        </w:rPr>
        <w:t>magna cum laude</w:t>
      </w:r>
      <w:r>
        <w:t xml:space="preserve"> </w:t>
      </w:r>
      <w:r>
        <w:t>, 2013</w:t>
      </w:r>
      <w:r>
        <w:t xml:space="preserve"> </w:t>
      </w:r>
    </w:p>
    <w:p w:rsidR="007F1EF5" w:rsidP="00C214F1" w:rsidRDefault="00C214F1">
      <w:pPr>
        <w:ind w:left="705"/>
      </w:pPr>
      <w:r>
        <w:rPr>
          <w:i/>
        </w:rPr>
        <w:t>Case Western Reserve Journal of International Law</w:t>
      </w:r>
      <w:r>
        <w:t xml:space="preserve"> </w:t>
      </w:r>
      <w:r>
        <w:t>, Managing Editor, 2012-13; Student note published in Canada-U.S. Law Journal, 2013; J. Braxton Craven Memorial Moot Court Competition Team, Member, 2012-13; Honors Fellow, CaseArc Legal Research and Writing program, 2011-12; Case Western Reserve University School of Law Honor Court, Chief Justice, 2012-13</w:t>
      </w:r>
      <w:r>
        <w:t xml:space="preserve"> </w:t>
      </w:r>
    </w:p>
    <w:p w:rsidR="007F1EF5" w:rsidP="00C214F1" w:rsidRDefault="00C214F1">
      <w:pPr>
        <w:pStyle w:val="ListParagraph"/>
      </w:pPr>
      <w:r>
        <w:t>Allegheny College, B.A., History, Communication Arts, </w:t>
      </w:r>
      <w:r>
        <w:t xml:space="preserve"> </w:t>
      </w:r>
      <w:r>
        <w:rPr>
          <w:i/>
        </w:rPr>
        <w:t>cum laude</w:t>
      </w:r>
      <w:r>
        <w:t xml:space="preserve"> </w:t>
      </w:r>
      <w:r>
        <w:t>, 2008</w:t>
      </w:r>
      <w:r>
        <w:t xml:space="preserve"> </w:t>
      </w:r>
    </w:p>
    <w:p w:rsidR="007F1EF5" w:rsidP="00C214F1" w:rsidRDefault="00C214F1">
      <w:pPr>
        <w:ind w:left="705"/>
      </w:pPr>
      <w:r>
        <w:t>Senior thesis paper and video documentary project, "Double Secret Probation," awarded Honors by History and Communication Arts Departments; Philo-Franklin Oration Prize for excellence in speech communication</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Commercial Litigation, 2025, Litigation – Construction, 2025</w:t>
      </w:r>
      <w:r>
        <w:t xml:space="preserve"> </w:t>
      </w:r>
    </w:p>
    <w:p w:rsidR="007F1EF5" w:rsidP="00C214F1" w:rsidRDefault="00C214F1">
      <w:pPr>
        <w:pStyle w:val="ListParagraph"/>
      </w:pPr>
      <w:r>
        <w:t>Ones to Watch, Best Lawyers®, Commercial Litigation, 2021-24; Construction Law, 2023-24; Insurance Law, 2023-24; Mass Tort Litigation/Class Actions – Defendants, 2021-23; Litigation – Construction, 2022-24; Appellate Practice, 2024</w:t>
      </w:r>
      <w:r>
        <w:t xml:space="preserve"> </w:t>
      </w:r>
    </w:p>
    <w:p w:rsidR="007F1EF5" w:rsidP="00C214F1" w:rsidRDefault="00C214F1">
      <w:pPr>
        <w:pStyle w:val="ListParagraph"/>
      </w:pPr>
      <w:r>
        <w:t>Rising Star, Ohio Super Lawyers®, Business Litigation, 2019; Construction Litigation, 2020-24</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Insurance Requirements</w:t>
      </w:r>
      <w:r>
        <w:t xml:space="preserve"> </w:t>
      </w:r>
    </w:p>
    <w:p w:rsidR="007F1EF5" w:rsidP="00C214F1" w:rsidRDefault="00C214F1">
      <w:pPr>
        <w:pStyle w:val="ListParagraph"/>
      </w:pPr>
      <w:r>
        <w:t>Construction Law: Advanced Issues and Answers</w:t>
      </w:r>
      <w:r>
        <w:t xml:space="preserve"> </w:t>
      </w:r>
    </w:p>
    <w:p w:rsidR="007F1EF5" w:rsidP="00C214F1" w:rsidRDefault="00C214F1">
      <w:pPr>
        <w:pStyle w:val="ListParagraph"/>
      </w:pPr>
      <w:r>
        <w:t>Beware What Your Contract Says: It Just Might Be Enforced</w:t>
      </w:r>
      <w:r>
        <w:t xml:space="preserve"> </w:t>
      </w:r>
    </w:p>
    <w:p w:rsidR="007F1EF5" w:rsidP="00C214F1" w:rsidRDefault="00C214F1">
      <w:pPr>
        <w:pStyle w:val="ListParagraph"/>
      </w:pPr>
      <w:r>
        <w:t>Insurance Basics for Construction Matters (Cleveland Metropolitan Bar Association)</w:t>
      </w:r>
      <w:r>
        <w:t xml:space="preserve"> </w:t>
      </w:r>
    </w:p>
    <w:p w:rsidR="007F1EF5" w:rsidP="00C214F1" w:rsidRDefault="00C214F1">
      <w:pPr>
        <w:pStyle w:val="ListParagraph"/>
      </w:pPr>
      <w:r>
        <w:t>Beware Potential Hidden “Warranties” in Contract Documents (Properties Magazine)</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2023 – present</w:t>
      </w:r>
      <w:r>
        <w:t xml:space="preserve"> </w:t>
      </w:r>
    </w:p>
    <w:p w:rsidR="007F1EF5" w:rsidP="00C214F1" w:rsidRDefault="00C214F1">
      <w:pPr>
        <w:pStyle w:val="ListParagraph"/>
      </w:pPr>
      <w:r>
        <w:t>Associate, Hahn Loeser &amp; Parks LLP, 2017-2022</w:t>
      </w:r>
      <w:r>
        <w:t xml:space="preserve"> </w:t>
      </w:r>
    </w:p>
    <w:p w:rsidR="007F1EF5" w:rsidP="00C214F1" w:rsidRDefault="00C214F1">
      <w:pPr>
        <w:pStyle w:val="ListParagraph"/>
      </w:pPr>
      <w:r>
        <w:t>Associate, Brouse McDowell, LPA, 2013-17; Summer Associate, 2012</w:t>
      </w:r>
      <w:r>
        <w:t xml:space="preserve"> </w:t>
      </w:r>
    </w:p>
    <w:p w:rsidR="007F1EF5" w:rsidP="00C214F1" w:rsidRDefault="00C214F1">
      <w:pPr>
        <w:pStyle w:val="ListParagraph"/>
      </w:pPr>
      <w:r>
        <w:t>Judicial Extern, Judge Eileen A. Gallagher, Ohio Court of Appeals for the Eighth District, 2012</w:t>
      </w:r>
      <w:r>
        <w:t xml:space="preserve"> </w:t>
      </w:r>
    </w:p>
    <w:p w:rsidR="007F1EF5" w:rsidP="00C214F1" w:rsidRDefault="00C214F1">
      <w:pPr>
        <w:pStyle w:val="ListParagraph"/>
      </w:pPr>
      <w:r>
        <w:t>Master Control Operator, WPGH/WPMY, Pittsburgh PA, 2008-10</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