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Lawrence E. Oscar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Partner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216.274.2229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leoscar@hahnlaw.com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Business Law, Restructuring, Bankruptcy and Insolvency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Lawrence E. Oscar, former CEO and managing partner of Hahn Loeser &amp; Parks and currently the firm’s Business Enterprises Practice Area Co-Chair, serves as a key advisor to executive management at NYSE and Fortune 1000 companies. He provides counsel for a wide range of situations and issues, including overall strategy, dispute resolution, employee relations, mergers and acquisitions, political developments and pricing strategies, among others.</w:t>
            </w:r>
          </w:p>
          <w:p>
            <w:pPr/>
            <w:r>
              <w:rPr/>
              <w:t xml:space="preserve">Ranked as one of the top Bankruptcy/Restructuring lawyers in Ohio, according to </w:t>
            </w:r>
            <w:r>
              <w:rPr>
                <w:i w:val="1"/>
                <w:iCs w:val="1"/>
              </w:rPr>
              <w:t xml:space="preserve">Chambers USA</w:t>
            </w:r>
            <w:r>
              <w:rPr/>
              <w:t xml:space="preserve">, Larry’s clients praise his “unique ability to see the most important aspects of a case or situation before others,” and appreciate that he “truly grasps the economic situation and places business issues at the fore.”</w:t>
            </w:r>
          </w:p>
          <w:p>
            <w:pPr/>
            <w:r>
              <w:rPr/>
              <w:t xml:space="preserve">Larry’s significant knowledge and business acumen has made him a trusted counselor to businesses, secured and unsecured creditors, creditors’ committees, debtors and trustees in reorganization and insolvency matters; financial institutions, vendors and other creditor or debtor interests in connection with numerous workout, composition and extension arrangements; and acquirers of financially distressed businesses inside and outside of bankruptcy proceedings.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REPRESENTATIVE EXPERIENCE</w:t>
      </w:r>
    </w:p>
    <w:p w:rsidR="007F1EF5" w:rsidP="00C214F1" w:rsidRDefault="00C214F1">
      <w:pPr>
        <w:pStyle w:val="ListParagraph"/>
      </w:pPr>
      <w:r>
        <w:t>Cleveland-Cliffs Inc., USAA; The CIT Group
</w:t>
      </w:r>
      <w:r>
        <w:t xml:space="preserve"> </w:t>
      </w:r>
      <w:r>
        <w:t>Workout and bankruptcy matters;Represent these institutions in asset-based loan transactions;Acquisitions of financially troubled businesses.</w:t>
      </w:r>
      <w:r>
        <w:t xml:space="preserve"> </w:t>
      </w:r>
    </w:p>
    <w:p w:rsidR="007F1EF5" w:rsidP="00C214F1" w:rsidRDefault="00C214F1">
      <w:pPr>
        <w:pStyle w:val="ListParagraph"/>
      </w:pPr>
      <w:r>
        <w:t>A&amp;P Technology, Inc. (high tech provider of braided textiles)
</w:t>
      </w:r>
      <w:r>
        <w:t xml:space="preserve"> </w:t>
      </w:r>
      <w:r>
        <w:t>Represent 7th generation family business;General corporate advice;Intellectual property rights protection.</w:t>
      </w:r>
      <w:r>
        <w:t xml:space="preserve"> </w:t>
      </w:r>
    </w:p>
    <w:p w:rsidR="007F1EF5" w:rsidP="00C214F1" w:rsidRDefault="00C214F1">
      <w:pPr>
        <w:pStyle w:val="ListParagraph"/>
      </w:pPr>
      <w:r>
        <w:t>Ferragamo USA, Inc. (luxury goods manufacturer and distributor)
</w:t>
      </w:r>
      <w:r>
        <w:t xml:space="preserve"> </w:t>
      </w:r>
      <w:r>
        <w:t>Store and distribution issues;Real estate development issues.</w:t>
      </w:r>
      <w:r>
        <w:t xml:space="preserve"> </w:t>
      </w:r>
    </w:p>
    <w:p w:rsidR="007F1EF5" w:rsidP="00C214F1" w:rsidRDefault="00C214F1">
      <w:pPr>
        <w:pStyle w:val="ListParagraph"/>
      </w:pPr>
      <w:r>
        <w:t>Hugo Boss USA, Inc. (international manufacturer and vendor of high fashion apparel)
</w:t>
      </w:r>
      <w:r>
        <w:t xml:space="preserve"> </w:t>
      </w:r>
      <w:r>
        <w:t>Supplier, customer, and employment disputes and litigation;Trade name and trademark matters;Real estate matters;Labor and employment issues;Distribution and antitrust issues.</w:t>
      </w:r>
      <w:r>
        <w:t xml:space="preserve"> </w:t>
      </w:r>
    </w:p>
    <w:p w:rsidR="007F1EF5" w:rsidP="00C214F1" w:rsidRDefault="00C214F1">
      <w:pPr>
        <w:pStyle w:val="ListParagraph"/>
      </w:pPr>
      <w:r>
        <w:t>Durrel Corp. (“mini-conglomerate” of metal processors: T&amp;W Forge, Inc. (now sold), Transue &amp; Williams Stamping Co., Inc., and MC Machine.)
</w:t>
      </w:r>
      <w:r>
        <w:t xml:space="preserve"> </w:t>
      </w:r>
      <w:r>
        <w:t>Represent affiliated group of individual businesses serving heavy industry;General corporate and control issues;Labor and employment matters;Customer relations matters;Business acquisitions.</w:t>
      </w:r>
      <w:r>
        <w:t xml:space="preserve"> </w:t>
      </w:r>
    </w:p>
    <w:p w:rsidR="007F1EF5" w:rsidP="00C214F1" w:rsidRDefault="00C214F1">
      <w:pPr>
        <w:pStyle w:val="ListParagraph"/>
      </w:pPr>
      <w:r>
        <w:t>A&amp;W Foods, Inc. (Ohio’s largest independent food distributor)
</w:t>
      </w:r>
      <w:r>
        <w:t xml:space="preserve"> </w:t>
      </w:r>
      <w:r>
        <w:t>Original acquisitions of assets and business, January 1990;Subsequent acquisitions of substantial new business line and new 300,000 sq. ft. office/distribution terminal facility;Trademark and trade name matters;Supplier, customer, employment and other litigation of all types;Distribution agreements and antitrust issues;Corporate planning;Handled sale of business.</w:t>
      </w:r>
      <w:r>
        <w:t xml:space="preserve"> </w:t>
      </w:r>
    </w:p>
    <w:p w:rsidR="007F1EF5" w:rsidP="00C214F1" w:rsidRDefault="00C214F1">
      <w:pPr>
        <w:pStyle w:val="ListParagraph"/>
      </w:pPr>
      <w:r>
        <w:t>Monarch Steel Company
</w:t>
      </w:r>
      <w:r>
        <w:t xml:space="preserve"> </w:t>
      </w:r>
      <w:r>
        <w:t>Financing;Customer and vendor issues.</w:t>
      </w:r>
      <w:r>
        <w:t xml:space="preserve"> </w:t>
      </w:r>
    </w:p>
    <w:p w:rsidR="007F1EF5" w:rsidP="00C214F1" w:rsidRDefault="00C214F1">
      <w:pPr>
        <w:pStyle w:val="ListParagraph"/>
      </w:pPr>
      <w:r>
        <w:t>In re AmTrust Financial Corporation (Creditors’ Committee).</w:t>
      </w:r>
      <w:r>
        <w:t xml:space="preserve"> </w:t>
      </w:r>
    </w:p>
    <w:p w:rsidR="007F1EF5" w:rsidP="00C214F1" w:rsidRDefault="00C214F1">
      <w:pPr>
        <w:pStyle w:val="ListParagraph"/>
      </w:pPr>
      <w:r>
        <w:t>In re Schwab Industries, Inc. (Debtor).</w:t>
      </w:r>
      <w:r>
        <w:t xml:space="preserve"> </w:t>
      </w:r>
    </w:p>
    <w:p w:rsidR="007F1EF5" w:rsidP="00C214F1" w:rsidRDefault="00C214F1">
      <w:pPr>
        <w:pStyle w:val="ListParagraph"/>
      </w:pPr>
      <w:r>
        <w:t>Metalworks Worldwide, Inc. (Judicial Dissolution).</w:t>
      </w:r>
      <w:r>
        <w:t xml:space="preserve"> </w:t>
      </w:r>
    </w:p>
    <w:p w:rsidR="007F1EF5" w:rsidP="00C214F1" w:rsidRDefault="00C214F1">
      <w:pPr>
        <w:pStyle w:val="ListParagraph"/>
      </w:pPr>
      <w:r>
        <w:t>LoPresti &amp; Sons, Inc. (Assignment for the Benefit of Creditors).</w:t>
      </w:r>
      <w:r>
        <w:t xml:space="preserve"> </w:t>
      </w:r>
    </w:p>
    <w:p w:rsidR="007F1EF5" w:rsidP="00C214F1" w:rsidRDefault="00C214F1">
      <w:pPr>
        <w:pStyle w:val="ListParagraph"/>
      </w:pPr>
      <w:r>
        <w:t>In re WCI, Inc. (Chair of Creditors’ Committee &amp; major vendor).</w:t>
      </w:r>
      <w:r>
        <w:t xml:space="preserve"> </w:t>
      </w:r>
    </w:p>
    <w:p w:rsidR="007F1EF5" w:rsidP="00C214F1" w:rsidRDefault="00C214F1">
      <w:pPr>
        <w:pStyle w:val="ListParagraph"/>
      </w:pPr>
      <w:r>
        <w:t>In re Rouge Steel Inc. (Largest vendor and secured creditor).</w:t>
      </w:r>
      <w:r>
        <w:t xml:space="preserve"> </w:t>
      </w:r>
    </w:p>
    <w:p w:rsidR="007F1EF5" w:rsidP="00C214F1" w:rsidRDefault="00C214F1">
      <w:pPr>
        <w:pStyle w:val="ListParagraph"/>
      </w:pPr>
      <w:r>
        <w:t>In re Weirton Steel Corporation (Creditors’ Committee Co-Chair &amp; major vendor).</w:t>
      </w:r>
      <w:r>
        <w:t xml:space="preserve"> </w:t>
      </w:r>
    </w:p>
    <w:p w:rsidR="007F1EF5" w:rsidP="00C214F1" w:rsidRDefault="00C214F1">
      <w:pPr>
        <w:pStyle w:val="ListParagraph"/>
      </w:pPr>
      <w:r>
        <w:t>In re Level Propane, Inc. (Largest Equipment Financer).</w:t>
      </w:r>
      <w:r>
        <w:t xml:space="preserve"> </w:t>
      </w:r>
    </w:p>
    <w:p w:rsidR="007F1EF5" w:rsidP="00C214F1" w:rsidRDefault="00C214F1">
      <w:pPr>
        <w:pStyle w:val="ListParagraph"/>
      </w:pPr>
      <w:r>
        <w:t>In re LTV Steel Company, Inc. (LTV II) (Chair of Creditors’ Committee).</w:t>
      </w:r>
      <w:r>
        <w:t xml:space="preserve"> </w:t>
      </w:r>
    </w:p>
    <w:p w:rsidR="007F1EF5" w:rsidP="00C214F1" w:rsidRDefault="00C214F1">
      <w:pPr>
        <w:pStyle w:val="ListParagraph"/>
      </w:pPr>
      <w:r>
        <w:t>In re Phar-Mor Stores, Inc. (Special Counsel Reorganized Debtor).</w:t>
      </w:r>
      <w:r>
        <w:t xml:space="preserve"> </w:t>
      </w:r>
    </w:p>
    <w:p w:rsidR="007F1EF5" w:rsidP="00C214F1" w:rsidRDefault="00C214F1">
      <w:pPr>
        <w:pStyle w:val="ListParagraph"/>
      </w:pPr>
      <w:r>
        <w:t>In re Barneys New York (Counsel to Committee Member with Respect to Claim Sale).</w:t>
      </w:r>
      <w:r>
        <w:t xml:space="preserve"> </w:t>
      </w:r>
    </w:p>
    <w:p w:rsidR="007F1EF5" w:rsidP="00C214F1" w:rsidRDefault="00C214F1">
      <w:pPr>
        <w:pStyle w:val="ListParagraph"/>
      </w:pPr>
      <w:r>
        <w:t>In re The LTV Corporation and LTV Steel Company, Inc. (LTV I) (Indenture Trustee).</w:t>
      </w:r>
      <w:r>
        <w:t xml:space="preserve"> </w:t>
      </w:r>
    </w:p>
    <w:p w:rsidR="007F1EF5" w:rsidP="00C214F1" w:rsidRDefault="00C214F1">
      <w:pPr>
        <w:pStyle w:val="ListParagraph"/>
      </w:pPr>
      <w:r>
        <w:t>In re Federated Stores, Inc. (Creditors’ Committee).</w:t>
      </w:r>
      <w:r>
        <w:t xml:space="preserve"> </w:t>
      </w:r>
    </w:p>
    <w:p w:rsidR="007F1EF5" w:rsidP="00C214F1" w:rsidRDefault="00C214F1">
      <w:pPr>
        <w:pStyle w:val="ListParagraph"/>
      </w:pPr>
      <w:r>
        <w:t>In re White Motor Corporation (Creditors’ Committee and Disposition Assets Trustee).</w:t>
      </w:r>
      <w:r>
        <w:t xml:space="preserve"> </w:t>
      </w:r>
    </w:p>
    <w:p w:rsidR="007F1EF5" w:rsidP="00C214F1" w:rsidRDefault="00C214F1">
      <w:pPr>
        <w:pStyle w:val="ListParagraph"/>
      </w:pPr>
      <w:r>
        <w:t>In re Simetco, Inc. (Debtor).</w:t>
      </w:r>
      <w:r>
        <w:t xml:space="preserve"> </w:t>
      </w:r>
    </w:p>
    <w:p w:rsidR="007F1EF5" w:rsidP="00C214F1" w:rsidRDefault="00C214F1">
      <w:pPr>
        <w:pStyle w:val="ListParagraph"/>
      </w:pPr>
      <w:r>
        <w:t>In re Sharon Steel Corporation (Major Unsecured Creditor).</w:t>
      </w:r>
      <w:r>
        <w:t xml:space="preserve"> </w:t>
      </w:r>
    </w:p>
    <w:p w:rsidR="007F1EF5" w:rsidP="00C214F1" w:rsidRDefault="00C214F1">
      <w:pPr>
        <w:pStyle w:val="ListParagraph"/>
      </w:pPr>
      <w:r>
        <w:t>In re Hauserman, Inc. (Chair of Creditors’ Committee).</w:t>
      </w:r>
      <w:r>
        <w:t xml:space="preserve"> </w:t>
      </w:r>
    </w:p>
    <w:p w:rsidR="007F1EF5" w:rsidP="00C214F1" w:rsidRDefault="00C214F1">
      <w:pPr>
        <w:pStyle w:val="ListParagraph"/>
      </w:pPr>
      <w:r>
        <w:t>In re Revco D.S., Inc. (Indenture Trustee).</w:t>
      </w:r>
      <w:r>
        <w:t xml:space="preserve"> </w:t>
      </w:r>
    </w:p>
    <w:p w:rsidR="007F1EF5" w:rsidP="00C214F1" w:rsidRDefault="00C214F1">
      <w:pPr>
        <w:pStyle w:val="ListParagraph"/>
      </w:pPr>
      <w:r>
        <w:t>In re Action Auto Rental, Inc. (Creditors’ Committee).</w:t>
      </w:r>
      <w:r>
        <w:t xml:space="preserve"> </w:t>
      </w:r>
    </w:p>
    <w:p w:rsidR="007F1EF5" w:rsidP="00C214F1" w:rsidRDefault="00C214F1">
      <w:pPr>
        <w:pStyle w:val="ListParagraph"/>
      </w:pPr>
      <w:r>
        <w:t>In re Enduro Stainless, Inc. (Creditors’ Committee and Trustee).</w:t>
      </w:r>
      <w:r>
        <w:t xml:space="preserve"> </w:t>
      </w:r>
    </w:p>
    <w:p w:rsidR="007F1EF5" w:rsidP="00C214F1" w:rsidRDefault="00C214F1">
      <w:pPr>
        <w:pStyle w:val="ListParagraph"/>
      </w:pPr>
      <w:r>
        <w:t>In re Chapter 11, Cardinal Industries, Inc. (Unsecured Creditor).</w:t>
      </w:r>
      <w:r>
        <w:t xml:space="preserve"> </w:t>
      </w:r>
    </w:p>
    <w:p w:rsidR="007F1EF5" w:rsidP="00C214F1" w:rsidRDefault="00C214F1">
      <w:pPr>
        <w:pStyle w:val="ListParagraph"/>
      </w:pPr>
      <w:r>
        <w:t>In re Howard Industries, Inc. (Debtor).</w:t>
      </w:r>
      <w:r>
        <w:t xml:space="preserve"> </w:t>
      </w:r>
    </w:p>
    <w:p w:rsidR="007F1EF5" w:rsidP="00C214F1" w:rsidRDefault="00C214F1">
      <w:pPr>
        <w:pStyle w:val="ListParagraph"/>
      </w:pPr>
      <w:r>
        <w:t>In re Unimet, Inc. (Debtor).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1981</w:t>
      </w:r>
      <w:r>
        <w:t xml:space="preserve"> </w:t>
      </w:r>
    </w:p>
    <w:p w:rsidR="007F1EF5" w:rsidP="00C214F1" w:rsidRDefault="00C214F1">
      <w:pPr>
        <w:pStyle w:val="ListParagraph"/>
      </w:pPr>
      <w:r>
        <w:t>U.S. Supreme Court; U.S. Courts of Appeal for the Sixth and Seventh Circuits; U.S. District Courts for the Northern District of Ohio and Southern District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New York University School of Law, J.D., 1981</w:t>
      </w:r>
      <w:r>
        <w:t xml:space="preserve"> </w:t>
      </w:r>
    </w:p>
    <w:p w:rsidR="007F1EF5" w:rsidP="00C214F1" w:rsidRDefault="00C214F1">
      <w:pPr>
        <w:ind w:left="705"/>
      </w:pPr>
      <w:r>
        <w:t>Comprehensive paper, “Equitable Subordination Under the Bankruptcy Reform Act of 1978”</w:t>
      </w:r>
      <w:r>
        <w:t xml:space="preserve"> </w:t>
      </w:r>
    </w:p>
    <w:p w:rsidR="007F1EF5" w:rsidP="00C214F1" w:rsidRDefault="00C214F1">
      <w:pPr>
        <w:pStyle w:val="ListParagraph"/>
      </w:pPr>
      <w:r>
        <w:t>Wharton School of the University of Pennsylvania, B.S., Economics,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1978</w:t>
      </w:r>
      <w:r>
        <w:t xml:space="preserve"> </w:t>
      </w:r>
    </w:p>
    <w:p w:rsidR="007F1EF5" w:rsidP="00C214F1" w:rsidRDefault="00C214F1">
      <w:pPr>
        <w:ind w:left="705"/>
      </w:pPr>
      <w:r>
        <w:t>Finance Major; Four year varsity letter winner in football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ChambersUSA, Bankruptcy/Restructuring, 2005-24</w:t>
      </w:r>
      <w:r>
        <w:t xml:space="preserve"> </w:t>
      </w:r>
    </w:p>
    <w:p w:rsidR="007F1EF5" w:rsidP="00C214F1" w:rsidRDefault="00C214F1">
      <w:pPr>
        <w:pStyle w:val="ListParagraph"/>
      </w:pPr>
      <w:r>
        <w:t>Ohio Super Lawyers®, Bankruptcy: Business, 2004-24</w:t>
      </w:r>
      <w:r>
        <w:t xml:space="preserve"> </w:t>
      </w:r>
    </w:p>
    <w:p w:rsidR="007F1EF5" w:rsidP="00C214F1" w:rsidRDefault="00C214F1">
      <w:pPr>
        <w:pStyle w:val="ListParagraph"/>
      </w:pPr>
      <w:r>
        <w:t>The Best Lawyers in America®, Bankruptcy and Creditor Debtor Rights/Insolvency and Reorganization Law, 2005-25; Mergers and Acquisitions Law, 2024-25; Cleveland Lawyer of the Year, Bankruptcy Law, 2013</w:t>
      </w:r>
      <w:r>
        <w:t xml:space="preserve"> </w:t>
      </w:r>
    </w:p>
    <w:p w:rsidR="007F1EF5" w:rsidP="00C214F1" w:rsidRDefault="00C214F1">
      <w:pPr>
        <w:pStyle w:val="ListParagraph"/>
      </w:pPr>
      <w:r>
        <w:t>AV Preeminent®, Martindale-Hubbell</w:t>
      </w:r>
      <w:r>
        <w:t xml:space="preserve"> </w:t>
      </w:r>
    </w:p>
    <w:p w:rsidR="007F1EF5" w:rsidP="00C214F1" w:rsidRDefault="00C214F1">
      <w:pPr>
        <w:pStyle w:val="ListParagraph"/>
      </w:pPr>
      <w:r>
        <w:t>Notable Nonprofit Board Leaders, Crain’s Cleveland Business, 2023</w:t>
      </w:r>
      <w:r>
        <w:t xml:space="preserve"> </w:t>
      </w:r>
    </w:p>
    <w:p w:rsidR="007F1EF5" w:rsidP="00C214F1" w:rsidRDefault="00C214F1">
      <w:pPr>
        <w:pStyle w:val="ListParagraph"/>
      </w:pPr>
      <w:r>
        <w:t>Cleveland 500, Cleveland Magazine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Greater Cleveland Partnership, Equity &amp; Inclusion, Board Member</w:t>
      </w:r>
      <w:r>
        <w:t xml:space="preserve"> </w:t>
      </w:r>
    </w:p>
    <w:p w:rsidR="007F1EF5" w:rsidP="00C214F1" w:rsidRDefault="00C214F1">
      <w:pPr>
        <w:pStyle w:val="ListParagraph"/>
      </w:pPr>
      <w:r>
        <w:t>American Bar Association, Business Law Section, Commercial Financial Services and Business Bankruptcy Committees</w:t>
      </w:r>
      <w:r>
        <w:t xml:space="preserve"> </w:t>
      </w:r>
    </w:p>
    <w:p w:rsidR="007F1EF5" w:rsidP="00C214F1" w:rsidRDefault="00C214F1">
      <w:pPr>
        <w:pStyle w:val="ListParagraph"/>
      </w:pPr>
      <w:r>
        <w:t>Ohio State Bar Association, Banking, Commercial and Bankruptcy Law Committee</w:t>
      </w:r>
      <w:r>
        <w:t xml:space="preserve"> </w:t>
      </w:r>
    </w:p>
    <w:p w:rsidR="007F1EF5" w:rsidP="00C214F1" w:rsidRDefault="00C214F1">
      <w:pPr>
        <w:pStyle w:val="ListParagraph"/>
      </w:pPr>
      <w:r>
        <w:t>Cleveland Metropolitan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Greater Cleveland Partnership, Government Affairs Council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Cleveland Leadership Center: Board of Directors, Chair, 2015-18; Board of Trustees, 2009-present; Executive Committee</w:t>
      </w:r>
      <w:r>
        <w:t xml:space="preserve"> </w:t>
      </w:r>
    </w:p>
    <w:p w:rsidR="007F1EF5" w:rsidP="00C214F1" w:rsidRDefault="00C214F1">
      <w:pPr>
        <w:pStyle w:val="ListParagraph"/>
      </w:pPr>
      <w:r>
        <w:t>Museum of Contemporary Art Cleveland, Board of Trustees, 2003-2022 (Honorary Trustee thereafter), Board President, 2018-21</w:t>
      </w:r>
      <w:r>
        <w:t xml:space="preserve"> </w:t>
      </w:r>
    </w:p>
    <w:p w:rsidR="007F1EF5" w:rsidP="00C214F1" w:rsidRDefault="00C214F1">
      <w:pPr>
        <w:pStyle w:val="ListParagraph"/>
      </w:pPr>
      <w:r>
        <w:t>Cleveland-Marshall College of Law – Leadership &amp; Law Advisory Council</w:t>
      </w:r>
      <w:r>
        <w:t xml:space="preserve"> </w:t>
      </w:r>
    </w:p>
    <w:p w:rsidR="007F1EF5" w:rsidP="00C214F1" w:rsidRDefault="00C214F1">
      <w:pPr>
        <w:pStyle w:val="ListParagraph"/>
      </w:pPr>
      <w:r>
        <w:t>Case Western Reserve University School of Law, 2013-18; Deans’ Visiting Committee</w:t>
      </w:r>
      <w:r>
        <w:t xml:space="preserve"> </w:t>
      </w:r>
    </w:p>
    <w:p w:rsidR="007F1EF5" w:rsidP="00C214F1" w:rsidRDefault="00C214F1">
      <w:pPr>
        <w:pStyle w:val="ListParagraph"/>
      </w:pPr>
      <w:r>
        <w:t>The Cleveland Orchestra, Advisory Council, Founding Chair, 2014-2021</w:t>
      </w:r>
      <w:r>
        <w:t xml:space="preserve"> </w:t>
      </w:r>
    </w:p>
    <w:p w:rsidR="007F1EF5" w:rsidP="00C214F1" w:rsidRDefault="00C214F1">
      <w:pPr>
        <w:pStyle w:val="ListParagraph"/>
      </w:pPr>
      <w:r>
        <w:t>Cleveland Museum of Art, Leadership Circle, 2011-2022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Partner, Hahn Loeser &amp; Parks LLP, 1989-present; Chief Executive Officer and Managing Partner, 2009-17; Past Co-Chair, Creditors’ Rights, Reorganization and Bankruptcy Area; Board of Directors, 1999-2017; Associate, 1981-89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