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Gregory M. Nolfi</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216.274.2393</w:t>
            </w:r>
            <w:br/>
            <w:r>
              <w:rPr>
                <w:color w:val="337CB4"/>
              </w:rPr>
              <w:t xml:space="preserve">email </w:t>
            </w:r>
            <w:r>
              <w:rPr/>
              <w:t xml:space="preserve"> gmnolfi@hahnlaw.com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Corporate Securities, Mergers &amp; Acquisitions, Middle Market</w:t>
            </w:r>
          </w:p>
        </w:tc>
      </w:tr>
    </w:tbl>
    <w:tbl>
      <w:tblGrid>
        <w:gridCol/>
      </w:tblGrid>
      <w:tr>
        <w:trPr/>
        <w:tc>
          <w:tcPr>
            <w:noWrap/>
          </w:tcPr>
          <w:p>
            <w:pPr/>
            <w:r>
              <w:rPr/>
              <w:t xml:space="preserve">As a middle market business attorney, Gregory M. Nolfi has extensive experience in general corporate and transactions with an emphasis on closely held and family businesses. Greg also focuses his practice in the healthcare and real estate industries.</w:t>
            </w:r>
          </w:p>
          <w:p>
            <w:pPr/>
            <w:r>
              <w:rPr/>
              <w:t xml:space="preserve">In the healthcare industry, Greg served as outside general counsel to a local hospital for more than 15 years, handling all aspects of the hospital’s representation, including transactional and compliance matters. In addition, Greg oversaw all of the hospital’s contractual relationships with physicians as well as joint ventures with ancillary providers, financing arrangements, provider contracts and medical staff, governance, and regulatory issues. Greg continues to be involved in hospital/physician transactions including contractual arrangements between providers and hospital systems and practice acquisitions.</w:t>
            </w:r>
          </w:p>
          <w:p>
            <w:pPr/>
            <w:r>
              <w:rPr/>
              <w:t xml:space="preserve">Greg’s real estate expertise includes the negotiation of purchase and sale of commercial real estate as well as all forms of leasing transactions. Greg has extensive experience with environmental audits and other due diligence related to the purchase and sale of real estate.</w:t>
            </w:r>
          </w:p>
          <w:p>
            <w:pPr/>
            <w:r>
              <w:rPr/>
              <w:t xml:space="preserve">Greg has acted as the liaison between clients and other professionals at Hahn Loeser for matters outside his area of expertise. Greg’s experience includes counseling owners of these businesses on succession planning issues as well as representing clients in sophisticated asset and stock acquisitions. In addition, he has helped clients negotiate and draft of a variety of contracts and agreements.</w:t>
            </w:r>
          </w:p>
          <w:p>
            <w:pPr/>
            <w:r>
              <w:rPr/>
              <w:t xml:space="preserve">Greg has counseled his clients in the establishment of operations and/or relationships outside of the U.S., including the construction of manufacturing facilities in Mexico and China as well as business, joint venture and strategic-alliance arrangements around the world. Greg also has represented foreign entities in both the acquisition and disposition of U.S. companies.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1977</w:t>
      </w:r>
      <w:r>
        <w:t xml:space="preserve"> </w:t>
      </w:r>
    </w:p>
    <w:p w:rsidR="007F1EF5" w:rsidP="00C214F1" w:rsidRDefault="00C214F1">
      <w:pPr>
        <w:pStyle w:val="ListParagraph"/>
      </w:pPr>
      <w:r>
        <w:t>U.S. District Court, 1977; U.S. District Court for the Northern District of Ohio, 1987; U.S. Court of Appeals for the Sixth Circuit</w:t>
      </w:r>
      <w:r>
        <w:t xml:space="preserve"> </w:t>
      </w:r>
    </w:p>
    <w:p w:rsidR="007F1EF5" w:rsidP="00C214F1" w:rsidRDefault="00C214F1">
      <w:pPr>
        <w:pStyle w:val="ListParagraph"/>
      </w:pPr>
      <w:r>
        <w:t>U.S. Supreme Court</w:t>
      </w:r>
      <w:r>
        <w:t xml:space="preserve"> </w:t>
      </w:r>
    </w:p>
    <w:p w:rsidR="007F1EF5" w:rsidP="00C214F1" w:rsidRDefault="00C214F1">
      <w:pPr>
        <w:pStyle w:val="Heading2"/>
      </w:pPr>
      <w:r w:rsidRPr="009328C8">
        <w:t>EDUCATION</w:t>
      </w:r>
    </w:p>
    <w:p w:rsidR="007F1EF5" w:rsidP="00C214F1" w:rsidRDefault="00C214F1">
      <w:pPr>
        <w:pStyle w:val="ListParagraph"/>
      </w:pPr>
      <w:r>
        <w:t>University of Toledo School of Law, J.D., 1977</w:t>
      </w:r>
      <w:r>
        <w:t xml:space="preserve"> </w:t>
      </w:r>
    </w:p>
    <w:p w:rsidR="007F1EF5" w:rsidP="00C214F1" w:rsidRDefault="00C214F1">
      <w:pPr>
        <w:ind w:left="705"/>
      </w:pPr>
      <w:r>
        <w:t>Honors &amp; Activities: </w:t>
      </w:r>
      <w:r>
        <w:t xml:space="preserve"> </w:t>
      </w:r>
      <w:r>
        <w:rPr>
          <w:i/>
        </w:rPr>
        <w:t>University of Toledo Law Review</w:t>
      </w:r>
      <w:r>
        <w:t xml:space="preserve"> </w:t>
      </w:r>
      <w:r>
        <w:t>, Research Editor</w:t>
      </w:r>
      <w:r>
        <w:t xml:space="preserve"> </w:t>
      </w:r>
    </w:p>
    <w:p w:rsidR="007F1EF5" w:rsidP="00C214F1" w:rsidRDefault="00C214F1">
      <w:pPr>
        <w:pStyle w:val="ListParagraph"/>
      </w:pPr>
      <w:r>
        <w:t>Youngstown State University, B.S., 1972</w:t>
      </w:r>
      <w:r>
        <w:t xml:space="preserve"> </w:t>
      </w:r>
    </w:p>
    <w:p w:rsidR="007F1EF5" w:rsidP="00C214F1" w:rsidRDefault="00C214F1">
      <w:pPr>
        <w:pStyle w:val="Heading2"/>
      </w:pPr>
      <w:r w:rsidRPr="009328C8">
        <w:t>AWARDS &amp; HONORS</w:t>
      </w:r>
    </w:p>
    <w:p w:rsidR="007F1EF5" w:rsidP="00C214F1" w:rsidRDefault="00C214F1">
      <w:pPr>
        <w:pStyle w:val="ListParagraph"/>
      </w:pPr>
      <w:r>
        <w:t>AV Preeminent®, Martindale Hubbell</w:t>
      </w:r>
      <w:r>
        <w:t xml:space="preserve"> </w:t>
      </w:r>
    </w:p>
    <w:p w:rsidR="007F1EF5" w:rsidP="00C214F1" w:rsidRDefault="00C214F1">
      <w:pPr>
        <w:pStyle w:val="ListParagraph"/>
      </w:pPr>
      <w:r>
        <w:t>Ohio Super Lawyers, 2004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Section of Corporation, Banking and Business Law,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Attorneys for Family Held Enterprises, Member; Board of Trustees, 2012-present</w:t>
      </w:r>
      <w:r>
        <w:t xml:space="preserve"> </w:t>
      </w:r>
    </w:p>
    <w:p w:rsidR="007F1EF5" w:rsidP="00C214F1" w:rsidRDefault="00C214F1">
      <w:pPr>
        <w:pStyle w:val="Heading2"/>
      </w:pPr>
      <w:r w:rsidRPr="009328C8">
        <w:t>COMMUNITY INVOLVEMENT</w:t>
      </w:r>
    </w:p>
    <w:p w:rsidR="007F1EF5" w:rsidP="00C214F1" w:rsidRDefault="00C214F1">
      <w:pPr>
        <w:pStyle w:val="ListParagraph"/>
      </w:pPr>
      <w:r>
        <w:t>Northeastern Ohio Health Care Foundation, Board of Trustees, Chairman, 1997-present</w:t>
      </w:r>
      <w:r>
        <w:t xml:space="preserve"> </w:t>
      </w:r>
    </w:p>
    <w:p w:rsidR="007F1EF5" w:rsidP="00C214F1" w:rsidRDefault="00C214F1">
      <w:pPr>
        <w:pStyle w:val="ListParagraph"/>
      </w:pPr>
      <w:r>
        <w:t>Prevent Blindness Ohio, Northeast Ohio Chapter, Executive Council, Member; Planned Giving Chair</w:t>
      </w:r>
      <w:r>
        <w:t xml:space="preserve"> </w:t>
      </w:r>
    </w:p>
    <w:p w:rsidR="007F1EF5" w:rsidP="00C214F1" w:rsidRDefault="00C214F1">
      <w:pPr>
        <w:pStyle w:val="ListParagraph"/>
      </w:pPr>
      <w:r>
        <w:t>University Hospitals Urology Institute Leadership Council, 2012-present</w:t>
      </w:r>
      <w:r>
        <w:t xml:space="preserve"> </w:t>
      </w:r>
    </w:p>
    <w:p w:rsidR="007F1EF5" w:rsidP="00C214F1" w:rsidRDefault="00C214F1">
      <w:pPr>
        <w:pStyle w:val="ListParagraph"/>
      </w:pPr>
      <w:r>
        <w:t>Greater Akron Area Smiles for a Lifetime Foundation, Board of Trustees</w:t>
      </w:r>
      <w:r>
        <w:t xml:space="preserve"> </w:t>
      </w:r>
    </w:p>
    <w:p w:rsidR="007F1EF5" w:rsidP="00C214F1" w:rsidRDefault="00C214F1">
      <w:pPr>
        <w:pStyle w:val="ListParagraph"/>
      </w:pPr>
      <w:r>
        <w:t>Richmond Heights General Hospital, Board of Trustees, Former Member</w:t>
      </w:r>
      <w:r>
        <w:t xml:space="preserve"> </w:t>
      </w:r>
    </w:p>
    <w:p w:rsidR="007F1EF5" w:rsidP="00C214F1" w:rsidRDefault="00C214F1">
      <w:pPr>
        <w:pStyle w:val="ListParagraph"/>
      </w:pPr>
      <w:r>
        <w:t>Sinai Medical Center, Board of Trustees, Former Member</w:t>
      </w:r>
      <w:r>
        <w:t xml:space="preserve"> </w:t>
      </w:r>
    </w:p>
    <w:p w:rsidR="007F1EF5" w:rsidP="00C214F1" w:rsidRDefault="00C214F1">
      <w:pPr>
        <w:pStyle w:val="ListParagraph"/>
      </w:pPr>
      <w:r>
        <w:t>Vincent Charity Hospital, Board of Trustees, Former Member</w:t>
      </w:r>
      <w:r>
        <w:t xml:space="preserve"> </w:t>
      </w:r>
    </w:p>
    <w:p w:rsidR="007F1EF5" w:rsidP="00C214F1" w:rsidRDefault="00C214F1">
      <w:pPr>
        <w:pStyle w:val="ListParagraph"/>
      </w:pPr>
      <w:r>
        <w:t>The Country Club of Hudson, Board of Trustees, Former Member</w:t>
      </w:r>
      <w:r>
        <w:t xml:space="preserve"> </w:t>
      </w:r>
    </w:p>
    <w:p w:rsidR="007F1EF5" w:rsidP="00C214F1" w:rsidRDefault="00C214F1">
      <w:pPr>
        <w:pStyle w:val="ListParagraph"/>
      </w:pPr>
      <w:r>
        <w:t>First Congregational Church of Hudson, Board of Trustees, Former Member</w:t>
      </w:r>
      <w:r>
        <w:t xml:space="preserve"> </w:t>
      </w:r>
    </w:p>
    <w:p w:rsidR="007F1EF5" w:rsidP="00C214F1" w:rsidRDefault="00C214F1">
      <w:pPr>
        <w:pStyle w:val="ListParagraph"/>
      </w:pPr>
      <w:r>
        <w:t>Hudson Jaycees: Board of Trustees, Former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2000-present; Co-Chair, Corporate Transaction Group; Member, Board of Directors, 2009-2017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