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Ethan J. Peters</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216.297.4169</w:t>
            </w:r>
            <w:br/>
            <w:r>
              <w:rPr>
                <w:color w:val="337CB4"/>
              </w:rPr>
              <w:t xml:space="preserve">email </w:t>
            </w:r>
            <w:r>
              <w:rPr/>
              <w:t xml:space="preserve"> epeters@hahnlaw.com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Copyright, Patents, Trademarks, Licensing &amp; Technology Transfer, Trademark Litigation, Patent Litigation</w:t>
            </w:r>
          </w:p>
        </w:tc>
      </w:tr>
    </w:tbl>
    <w:tbl>
      <w:tblGrid>
        <w:gridCol/>
      </w:tblGrid>
      <w:tr>
        <w:trPr/>
        <w:tc>
          <w:tcPr>
            <w:noWrap/>
          </w:tcPr>
          <w:p>
            <w:pPr>
              <w:jc w:val="start"/>
            </w:pPr>
            <w:r>
              <w:rPr/>
              <w:t xml:space="preserve">Ethan J. Peters focuses his legal practice on intellectual property matters. As an attorney in Hahn Loeser’s Intellectual Property Practice Area, Ethan provides strategic advice to clients on a wide range of intellectual property issues and works closely with clients on the acquisition, utilization, and enforcement of all types of intellectual property.</w:t>
            </w:r>
          </w:p>
          <w:p>
            <w:pPr>
              <w:jc w:val="start"/>
            </w:pPr>
            <w:r>
              <w:rPr/>
              <w:t xml:space="preserve">Ethan’s practice includes preparation and prosecution of patent, trademark, and copyright applications. Ethan drafts patent and trademark opinions; helps manage clients’ intellectual property portfolios; consults clients on trade secret issues; and drafts and negotiates licensing and technology transfer agreements. Ethan also advocates for clients in intellectual property litigation matters in court, as well as in proceedings before the Patent and Trademark Trial and Appeal Boards.</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2019</w:t>
      </w:r>
      <w:r>
        <w:t xml:space="preserve"> </w:t>
      </w:r>
    </w:p>
    <w:p w:rsidR="007F1EF5" w:rsidP="00C214F1" w:rsidRDefault="00C214F1">
      <w:pPr>
        <w:pStyle w:val="ListParagraph"/>
      </w:pPr>
      <w:r>
        <w:t>U.S. Patent and Trademark Office, 2019</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The University of Akron School of Law, J.D., </w:t>
      </w:r>
      <w:r>
        <w:t xml:space="preserve"> </w:t>
      </w:r>
      <w:r>
        <w:rPr>
          <w:i/>
        </w:rPr>
        <w:t>magna cum laude</w:t>
      </w:r>
      <w:r>
        <w:t xml:space="preserve"> </w:t>
      </w:r>
      <w:r>
        <w:t>, 2019</w:t>
      </w:r>
      <w:r>
        <w:t xml:space="preserve"> </w:t>
      </w:r>
    </w:p>
    <w:p w:rsidR="007F1EF5" w:rsidP="00C214F1" w:rsidRDefault="00C214F1">
      <w:pPr>
        <w:ind w:left="705"/>
      </w:pPr>
      <w:r>
        <w:rPr>
          <w:i/>
        </w:rPr>
        <w:t>Akron Law Review</w:t>
      </w:r>
      <w:r>
        <w:t xml:space="preserve"> </w:t>
      </w:r>
      <w:r>
        <w:t>, Assistant Editor, 2017-18, Associate Editor, 2018-19; CALI Excellence for the Future Award in Legal Drafting; Henry C. Young Jr. Intellectual Property Law Scholarship; George M. &amp; Connie R. Boyd Scholarship; Board of Trustees Scholarship</w:t>
      </w:r>
      <w:r>
        <w:t xml:space="preserve"> </w:t>
      </w:r>
    </w:p>
    <w:p w:rsidR="007F1EF5" w:rsidP="00C214F1" w:rsidRDefault="00C214F1">
      <w:pPr>
        <w:pStyle w:val="ListParagraph"/>
      </w:pPr>
      <w:r>
        <w:t>The University of Wisconsin Platteville, M.S., Engineering, 2015</w:t>
      </w:r>
      <w:r>
        <w:t xml:space="preserve"> </w:t>
      </w:r>
    </w:p>
    <w:p w:rsidR="007F1EF5" w:rsidP="00C214F1" w:rsidRDefault="00C214F1">
      <w:pPr>
        <w:pStyle w:val="ListParagraph"/>
      </w:pPr>
      <w:r>
        <w:t>The University of Wisconsin La Crosse, B.S., Physics, Minor in Mathematics, 2011</w:t>
      </w:r>
      <w:r>
        <w:t xml:space="preserve"> </w:t>
      </w:r>
    </w:p>
    <w:p w:rsidR="007F1EF5" w:rsidP="00C214F1" w:rsidRDefault="00C214F1">
      <w:pPr>
        <w:ind w:left="705"/>
      </w:pPr>
      <w:r>
        <w:t>Physics Club; The Racquet, Features Reporter; Physics Department Scholarship</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Commercial Litigation, 2024-25; Litigation – Intellectual Property, 2024-25; Litigation – Patent, 2024-25</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2019-present</w:t>
      </w:r>
      <w:r>
        <w:t xml:space="preserve"> </w:t>
      </w:r>
    </w:p>
    <w:p w:rsidR="007F1EF5" w:rsidP="00C214F1" w:rsidRDefault="00C214F1">
      <w:pPr>
        <w:pStyle w:val="ListParagraph"/>
      </w:pPr>
      <w:r>
        <w:t>Summer Associate/Law Clerk, Hahn Loeser &amp; Parks LLP, 2017-2019</w:t>
      </w:r>
      <w:r>
        <w:t xml:space="preserve"> </w:t>
      </w:r>
    </w:p>
    <w:p w:rsidR="007F1EF5" w:rsidP="00C214F1" w:rsidRDefault="00C214F1">
      <w:pPr>
        <w:pStyle w:val="ListParagraph"/>
      </w:pPr>
      <w:r>
        <w:t>Packaging Production Manager, Century Foods International, 2012-2016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