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Elisé K. Yarnell</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614.233.5196</w:t>
            </w:r>
            <w:br/>
            <w:r>
              <w:rPr>
                <w:color w:val="337CB4"/>
              </w:rPr>
              <w:t xml:space="preserve">email </w:t>
            </w:r>
            <w:r>
              <w:rPr/>
              <w:t xml:space="preserve"> eyarnell@hahnlaw.com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Appellate Advocacy</w:t>
            </w:r>
          </w:p>
        </w:tc>
      </w:tr>
    </w:tbl>
    <w:tbl>
      <w:tblGrid>
        <w:gridCol/>
      </w:tblGrid>
      <w:tr>
        <w:trPr/>
        <w:tc>
          <w:tcPr>
            <w:noWrap/>
          </w:tcPr>
          <w:p>
            <w:pPr/>
            <w:r>
              <w:rPr/>
              <w:t xml:space="preserve">Elisé Yarnell is a partner in Hahn Loeser’s Litigation Group, with an emphasis on appellate advocacy. Her expertise includes complex commercial litigation at both the trial and appellate levels. Elisé regularly appears in both state and federal courts in Ohio and Indiana. A skilled writer and strategic thinker, she crafts persuasive and effective dispositive motions, appellate briefing, and oral arguments.</w:t>
            </w:r>
          </w:p>
          <w:p>
            <w:pPr/>
            <w:r>
              <w:rPr/>
              <w:t xml:space="preserve">Elisé also helps to spearhead insurance recoveries through early claim negotiation discussions and, where necessary, litigation against the insurance company. She advises insureds on insurance coverage issues for the construction and finance industries, such as comprehensive general liability policies, errors and omissions policies, architect or engineers professional liability policies, and all-risk policies.</w:t>
            </w:r>
          </w:p>
          <w:p>
            <w:pPr/>
            <w:r>
              <w:rPr/>
              <w:t xml:space="preserve">Recent successes include</w:t>
            </w:r>
          </w:p>
          <w:p>
            <w:pPr>
              <w:numPr>
                <w:ilvl w:val="0"/>
                <w:numId w:val="1"/>
              </w:numPr>
            </w:pPr>
            <w:r>
              <w:rPr/>
              <w:t xml:space="preserve">Briefing and arguing an appeal before the Ohio Supreme Court and securing a unanimous decision in the client’s favor</w:t>
            </w:r>
          </w:p>
          <w:p>
            <w:pPr>
              <w:numPr>
                <w:ilvl w:val="0"/>
                <w:numId w:val="1"/>
              </w:numPr>
            </w:pPr>
            <w:r>
              <w:rPr/>
              <w:t xml:space="preserve">Litigating an election-law original action in the Ohio Supreme Court</w:t>
            </w:r>
          </w:p>
          <w:p>
            <w:pPr>
              <w:numPr>
                <w:ilvl w:val="0"/>
                <w:numId w:val="1"/>
              </w:numPr>
            </w:pPr>
            <w:r>
              <w:rPr/>
              <w:t xml:space="preserve">Obtaining reversal of a summary judgment decision in the Ohio court of appeals, and successful defeat of a jurisdictional brief in the Ohio Supreme Court</w:t>
            </w:r>
          </w:p>
          <w:p>
            <w:pPr>
              <w:numPr>
                <w:ilvl w:val="0"/>
                <w:numId w:val="1"/>
              </w:numPr>
            </w:pPr>
            <w:r>
              <w:rPr/>
              <w:t xml:space="preserve">Second-chairing a bench trial and winning a judgment of over $400,000, including attorneys’ fees, and successfully defending that judgment in the Ohio court of appeals</w:t>
            </w:r>
          </w:p>
          <w:p>
            <w:pPr>
              <w:numPr>
                <w:ilvl w:val="0"/>
                <w:numId w:val="1"/>
              </w:numPr>
            </w:pPr>
            <w:r>
              <w:rPr/>
              <w:t xml:space="preserve">Assisting the Hahn Loeser team that argued an appeal that upheld a judgment for more than one million dollars in compensatory damages in favor of Hahn Loeser’s client in the Eleventh District Court of Appeals for the State of Ohio. The appellate court also affirmed awards of punitive damages and attorney fees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Associate, Hahn Loeser &amp; Parks LLP, 2016 to present</w:t>
      </w:r>
      <w:r>
        <w:t xml:space="preserve"> </w:t>
      </w:r>
    </w:p>
    <w:p w:rsidR="007F1EF5" w:rsidP="00C214F1" w:rsidRDefault="00C214F1">
      <w:pPr>
        <w:pStyle w:val="ListParagraph"/>
      </w:pPr>
      <w:r>
        <w:t>U.S. Court of Appeals for the Sixth Circuit,The Honorable Alice M. Batchelder, Medina, Ohio, 2015-16</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2015</w:t>
      </w:r>
      <w:r>
        <w:t xml:space="preserve"> </w:t>
      </w:r>
    </w:p>
    <w:p w:rsidR="007F1EF5" w:rsidP="00C214F1" w:rsidRDefault="00C214F1">
      <w:pPr>
        <w:pStyle w:val="ListParagraph"/>
      </w:pPr>
      <w:r>
        <w:t>State of Indiana, 2014</w:t>
      </w:r>
      <w:r>
        <w:t xml:space="preserve"> </w:t>
      </w:r>
    </w:p>
    <w:p w:rsidR="007F1EF5" w:rsidP="00C214F1" w:rsidRDefault="00C214F1">
      <w:pPr>
        <w:pStyle w:val="ListParagraph"/>
      </w:pPr>
      <w:r>
        <w:t>U.S. District Court for the Southern District of Ohio, 2017</w:t>
      </w:r>
      <w:r>
        <w:t xml:space="preserve"> </w:t>
      </w:r>
    </w:p>
    <w:p w:rsidR="007F1EF5" w:rsidP="00C214F1" w:rsidRDefault="00C214F1">
      <w:pPr>
        <w:pStyle w:val="ListParagraph"/>
      </w:pPr>
      <w:r>
        <w:t>U.S. District Court for the Northern District of Ohio, 2023</w:t>
      </w:r>
      <w:r>
        <w:t xml:space="preserve"> </w:t>
      </w:r>
    </w:p>
    <w:p w:rsidR="007F1EF5" w:rsidP="00C214F1" w:rsidRDefault="00C214F1">
      <w:pPr>
        <w:pStyle w:val="ListParagraph"/>
      </w:pPr>
      <w:r>
        <w:t>U.S. District Court for the Southern District of Indiana, 2017</w:t>
      </w:r>
      <w:r>
        <w:t xml:space="preserve"> </w:t>
      </w:r>
    </w:p>
    <w:p w:rsidR="007F1EF5" w:rsidP="00C214F1" w:rsidRDefault="00C214F1">
      <w:pPr>
        <w:pStyle w:val="ListParagraph"/>
      </w:pPr>
      <w:r>
        <w:t>U.S. Court of Appeals for the Sixth Circuit, 2015</w:t>
      </w:r>
      <w:r>
        <w:t xml:space="preserve"> </w:t>
      </w:r>
    </w:p>
    <w:p w:rsidR="007F1EF5" w:rsidP="00C214F1" w:rsidRDefault="00C214F1">
      <w:pPr>
        <w:pStyle w:val="ListParagraph"/>
      </w:pPr>
      <w:r>
        <w:t>U.S. Court of Appeals for the Ninth Circuit, 2023</w:t>
      </w:r>
      <w:r>
        <w:t xml:space="preserve"> </w:t>
      </w:r>
    </w:p>
    <w:p w:rsidR="007F1EF5" w:rsidP="00C214F1" w:rsidRDefault="00C214F1">
      <w:pPr>
        <w:pStyle w:val="Heading2"/>
      </w:pPr>
      <w:r w:rsidRPr="009328C8">
        <w:t>EDUCATION</w:t>
      </w:r>
    </w:p>
    <w:p w:rsidR="007F1EF5" w:rsidP="00C214F1" w:rsidRDefault="00C214F1">
      <w:pPr>
        <w:pStyle w:val="ListParagraph"/>
      </w:pPr>
      <w:r>
        <w:t>Yale Law School, J.D., 2014</w:t>
      </w:r>
      <w:r>
        <w:t xml:space="preserve"> </w:t>
      </w:r>
    </w:p>
    <w:p w:rsidR="007F1EF5" w:rsidP="00C214F1" w:rsidRDefault="00C214F1">
      <w:pPr>
        <w:pStyle w:val="ListParagraph"/>
      </w:pPr>
      <w:r>
        <w:t>Patrick Henry College, B.A., Government: American Politics &amp; Policy, </w:t>
      </w:r>
      <w:r>
        <w:t xml:space="preserve"> </w:t>
      </w:r>
      <w:r>
        <w:rPr>
          <w:i/>
        </w:rPr>
        <w:t>summa cum laude</w:t>
      </w:r>
      <w:r>
        <w:t xml:space="preserve"> </w:t>
      </w:r>
      <w:r>
        <w:t>, 2011</w:t>
      </w:r>
      <w:r>
        <w:t xml:space="preserve"> </w:t>
      </w:r>
    </w:p>
    <w:p w:rsidR="007F1EF5" w:rsidP="00C214F1" w:rsidRDefault="00C214F1">
      <w:pPr>
        <w:ind w:left="705"/>
      </w:pPr>
      <w:r>
        <w:t>Who’s Who Among Students in American Colleges and Universities, 2010; Moot Court, 2nd best brief at ACMA national tournament</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2022-25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Ohio Supreme Court Rejects Mandatory Deference to Agencies</w:t>
      </w:r>
      <w:r>
        <w:t xml:space="preserve"> </w:t>
      </w:r>
    </w:p>
    <w:p w:rsidR="007F1EF5" w:rsidP="00C214F1" w:rsidRDefault="00C214F1">
      <w:pPr>
        <w:pStyle w:val="ListParagraph"/>
      </w:pPr>
      <w:r>
        <w:t>Ohio Appellate Practice 101</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2023-present</w:t>
      </w:r>
      <w:r>
        <w:t xml:space="preserve"> </w:t>
      </w:r>
    </w:p>
    <w:p w:rsidR="007F1EF5" w:rsidP="00C214F1" w:rsidRDefault="00C214F1">
      <w:pPr>
        <w:pStyle w:val="ListParagraph"/>
      </w:pPr>
      <w:r>
        <w:t>Associate, Hahn Loeser &amp; Parks LLP, 2016-2022</w:t>
      </w:r>
      <w:r>
        <w:t xml:space="preserve"> </w:t>
      </w:r>
    </w:p>
    <w:p w:rsidR="007F1EF5" w:rsidP="00C214F1" w:rsidRDefault="00C214F1">
      <w:pPr>
        <w:pStyle w:val="ListParagraph"/>
      </w:pPr>
      <w:r>
        <w:t>Term Clerk, U.S. Court of Appeals for the Sixth Circuit, The Honorable Alice M. Batchelder, Medina, Ohio, 2015-16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