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 Sean Medina</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216.274.2240</w:t>
            </w:r>
            <w:br/>
            <w:r>
              <w:rPr>
                <w:color w:val="337CB4"/>
              </w:rPr>
              <w:t xml:space="preserve">email </w:t>
            </w:r>
            <w:r>
              <w:rPr/>
              <w:t xml:space="preserve"> smedina@hahnlaw.com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w:t>
            </w:r>
          </w:p>
        </w:tc>
      </w:tr>
    </w:tbl>
    <w:tbl>
      <w:tblGrid>
        <w:gridCol/>
      </w:tblGrid>
      <w:tr>
        <w:trPr/>
        <w:tc>
          <w:tcPr>
            <w:noWrap/>
          </w:tcPr>
          <w:p>
            <w:pPr/>
            <w:r>
              <w:rPr/>
              <w:t xml:space="preserve">To address clients’ most complex commercial disputes, E. Sean Medina provides targeted, creative legal counsel to protect businesses both inside and outside of the courtroom. He represents clients in industries as diverse as healthcare (hospitals and health systems, physicians, and managed care organizations), mining and natural resources, title insurance and escrow, and the hospitality sector.</w:t>
            </w:r>
          </w:p>
          <w:p>
            <w:pPr/>
            <w:r>
              <w:rPr/>
              <w:t xml:space="preserve">Sean represents one of the top tier health insurance corporations in America. His experience with this client includes payor-provider litigation, class actions, state statutory claims, and ERISA litigation.</w:t>
            </w:r>
          </w:p>
          <w:p>
            <w:pPr/>
            <w:r>
              <w:rPr/>
              <w:t xml:space="preserve">Sean also represents clients in court and arbitration, including in the following areas:</w:t>
            </w:r>
          </w:p>
          <w:p>
            <w:pPr>
              <w:numPr>
                <w:ilvl w:val="0"/>
                <w:numId w:val="1"/>
              </w:numPr>
            </w:pPr>
            <w:r>
              <w:rPr/>
              <w:t xml:space="preserve">Breach of contract claims</w:t>
            </w:r>
          </w:p>
          <w:p>
            <w:pPr>
              <w:numPr>
                <w:ilvl w:val="0"/>
                <w:numId w:val="1"/>
              </w:numPr>
            </w:pPr>
            <w:r>
              <w:rPr/>
              <w:t xml:space="preserve">Business torts and fraud claims</w:t>
            </w:r>
          </w:p>
          <w:p>
            <w:pPr>
              <w:numPr>
                <w:ilvl w:val="0"/>
                <w:numId w:val="1"/>
              </w:numPr>
            </w:pPr>
            <w:r>
              <w:rPr/>
              <w:t xml:space="preserve">Class action defense</w:t>
            </w:r>
          </w:p>
          <w:p>
            <w:pPr>
              <w:numPr>
                <w:ilvl w:val="0"/>
                <w:numId w:val="1"/>
              </w:numPr>
            </w:pPr>
            <w:r>
              <w:rPr/>
              <w:t xml:space="preserve">Complex commercial cases</w:t>
            </w:r>
          </w:p>
          <w:p>
            <w:pPr>
              <w:numPr>
                <w:ilvl w:val="0"/>
                <w:numId w:val="1"/>
              </w:numPr>
            </w:pPr>
            <w:r>
              <w:rPr/>
              <w:t xml:space="preserve">Healthcare and managed care litigation</w:t>
            </w:r>
          </w:p>
          <w:p>
            <w:pPr>
              <w:numPr>
                <w:ilvl w:val="0"/>
                <w:numId w:val="1"/>
              </w:numPr>
            </w:pPr>
            <w:r>
              <w:rPr/>
              <w:t xml:space="preserve">State bid and procurement litigation</w:t>
            </w:r>
          </w:p>
          <w:p>
            <w:pPr/>
            <w:r>
              <w:rPr/>
              <w:t xml:space="preserve">Sean has a record of early success for his clients through dispositive motions, defeat of class certification, and securing dismissal of or summary judgment on the claims.</w:t>
            </w:r>
          </w:p>
          <w:p>
            <w:pPr/>
            <w:r>
              <w:rPr/>
              <w:t xml:space="preserve">In addition to his duties as a litigation partner at the Firm, Sean has served as chair of Hahn Loeser’s Diversity &amp; Inclusion Committee for three years, leading a group of 10 attorneys and senior staff members to develop and implement initiatives to enhance the Firm’s inclusive workplace culture, recruitment, and retention efforts. Under his leadership, the Firm </w:t>
            </w:r>
            <w:hyperlink r:id="rId7" w:history="1">
              <w:r>
                <w:rPr/>
                <w:t xml:space="preserve">achieved Mansfield™ Rule Certification</w:t>
              </w:r>
            </w:hyperlink>
            <w:r>
              <w:rPr/>
              <w:t xml:space="preserve"> for Midsize Law Firms in 2023 following completion of an 18-month collaboration with Diversity Lab certifying that the Firm affirmatively considered at least 30 percent women lawyers, lawyers of color, LGBTQ+ lawyers, and lawyers with disabilities for lateral partner hires, leadership and governance roles, equity partner promotions, and formal client pitch opportunities.</w:t>
            </w:r>
          </w:p>
          <w:p>
            <w:pPr/>
            <w:r>
              <w:rPr/>
              <w:t xml:space="preserve">A native of Greater Cleveland, Sean earned his J.D. from Cleveland-Marshall College of Law in 2007 and a Bachelor of Arts from Bowling Green University in 2003. Sean was named as a </w:t>
            </w:r>
            <w:r>
              <w:rPr>
                <w:i w:val="1"/>
                <w:iCs w:val="1"/>
              </w:rPr>
              <w:t xml:space="preserve">Crain’s Cleveland Business’</w:t>
            </w:r>
            <w:r>
              <w:rPr/>
              <w:t xml:space="preserve"> 2023 “Notable Latino Leader.” Recipients are recognized for their accomplishments and for empowering change, in addition to advancing equality in the workplace and elsewhere. Sean was also named as one of </w:t>
            </w:r>
            <w:r>
              <w:rPr>
                <w:i w:val="1"/>
                <w:iCs w:val="1"/>
              </w:rPr>
              <w:t xml:space="preserve">Crain’s Cleveland Business’</w:t>
            </w:r>
            <w:r>
              <w:rPr/>
              <w:t xml:space="preserve"> 2018 Class of “Forty Under 40,” aligning with a team of talented professionals who excelled in their industries and made a difference in the Cleveland community. In 2020, Sean was one of only 67 professionals selected to participate in Leadership Cleveland, an intensive 10-month program that challenged senior-level leaders to address pressing community issues through a collaborative civic forum to advance their impact on the greater Cleveland community.</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rPr>
          <w:i/>
        </w:rPr>
        <w:t>Enduring Wellness v. Michael Roizen, M.D. and Cleveland Clinic Wellness Enterprise, LLC,</w:t>
      </w:r>
      <w:r>
        <w:t xml:space="preserve"> </w:t>
      </w:r>
      <w:r>
        <w:t> Cuyahoga County Court of Common Pleas No. CV-19-909042 (2019), and Eighth District Court of Appeals No. CA-19-108681 (2020). Obtained dismissal of multi-count complaint alleging breach of contract, tortious interference with contract, fraud, and violations of the Ohio Deceptive Trade Practices Act and obtained affirmance on appeal.</w:t>
      </w:r>
      <w:r>
        <w:t xml:space="preserve"> </w:t>
      </w:r>
    </w:p>
    <w:p w:rsidR="007F1EF5" w:rsidP="00C214F1" w:rsidRDefault="00C214F1">
      <w:pPr>
        <w:pStyle w:val="ListParagraph"/>
      </w:pPr>
      <w:r>
        <w:rPr>
          <w:i/>
        </w:rPr>
        <w:t>Abercrombie v. Aetna Health, Inc.</w:t>
      </w:r>
      <w:r>
        <w:t xml:space="preserve"> </w:t>
      </w:r>
      <w:r>
        <w:t>, U.S. District Court for the District of Colorado No. 1:15-CV-00994 (2016), and Tenth Circuit Court of Appeals No. 16-1152 (2017). Obtained dismissal of action against health insurer for claim that insurer violated state statute since 1970s through its reimbursement of chiropractors; dismissal upheld on appeal.</w:t>
      </w:r>
      <w:r>
        <w:t xml:space="preserve"> </w:t>
      </w:r>
    </w:p>
    <w:p w:rsidR="007F1EF5" w:rsidP="00C214F1" w:rsidRDefault="00C214F1">
      <w:pPr>
        <w:pStyle w:val="ListParagraph"/>
      </w:pPr>
      <w:r>
        <w:rPr>
          <w:i/>
        </w:rPr>
        <w:t>Bourbon Cmty. Hosp. v. Coventry Health and Life Ins. Co.</w:t>
      </w:r>
      <w:r>
        <w:t xml:space="preserve"> </w:t>
      </w:r>
      <w:r>
        <w:t>, U.S. District Court for the Western District of Kentucky No. 3:15-cv-00455 (2016). Obtained dismissal of action against Medicaid managed care organization for breach of contract and statutory violations for reimbursement policy regarding emergency department claims.</w:t>
      </w:r>
      <w:r>
        <w:t xml:space="preserve"> </w:t>
      </w:r>
    </w:p>
    <w:p w:rsidR="007F1EF5" w:rsidP="00C214F1" w:rsidRDefault="00C214F1">
      <w:pPr>
        <w:pStyle w:val="ListParagraph"/>
      </w:pPr>
      <w:r>
        <w:rPr>
          <w:i/>
        </w:rPr>
        <w:t>IPI II LLC v. The Cleveland Clinic Foundation</w:t>
      </w:r>
      <w:r>
        <w:t xml:space="preserve"> </w:t>
      </w:r>
      <w:r>
        <w:t>, Cuyahoga County Court of Common Pleas No. CV-12-786463 (2013) and Eight District Court of Appeals Nos. CA-13-099988 and CA-13-099898 (2014). Successfully defeated commercial replevin against health care provider, obtained summary judgment and obtained affirmance on appeal.</w:t>
      </w:r>
      <w:r>
        <w:t xml:space="preserve"> </w:t>
      </w:r>
    </w:p>
    <w:p w:rsidR="007F1EF5" w:rsidP="00C214F1" w:rsidRDefault="00C214F1">
      <w:pPr>
        <w:pStyle w:val="ListParagraph"/>
      </w:pPr>
      <w:r>
        <w:rPr>
          <w:i/>
        </w:rPr>
        <w:t>Chultem v. Ticor Title Ins. Co.</w:t>
      </w:r>
      <w:r>
        <w:t xml:space="preserve"> </w:t>
      </w:r>
      <w:r>
        <w:t>and </w:t>
      </w:r>
      <w:r>
        <w:t xml:space="preserve"> </w:t>
      </w:r>
      <w:r>
        <w:rPr>
          <w:i/>
        </w:rPr>
        <w:t>Colella v. Chicago Title Ins. Co.</w:t>
      </w:r>
      <w:r>
        <w:t xml:space="preserve"> </w:t>
      </w:r>
      <w:r>
        <w:t>, Cook County, Illinois (2013). Obtained complete defense verdict in bench trial of two consolidated statewide class actions alleging RESPA, Illinois Title Insurance Act, and Illinois Consumer Fraud Act violations and seeking $250 million, plus trebling.</w:t>
      </w:r>
      <w:r>
        <w:t xml:space="preserve"> </w:t>
      </w:r>
    </w:p>
    <w:p w:rsidR="007F1EF5" w:rsidP="00C214F1" w:rsidRDefault="00C214F1">
      <w:pPr>
        <w:pStyle w:val="ListParagraph"/>
      </w:pPr>
      <w:r>
        <w:rPr>
          <w:i/>
        </w:rPr>
        <w:t>Bushbeck v. Chicago Title Ins. Co.</w:t>
      </w:r>
      <w:r>
        <w:t xml:space="preserve"> </w:t>
      </w:r>
      <w:r>
        <w:t>, U. District Court for the Western District of Washington No. C08-755-JLR (2011 and 2012). Defeated two class certification motions in a nationwide RESPA and consumer fraud class action.</w:t>
      </w:r>
      <w:r>
        <w:t xml:space="preserve"> </w:t>
      </w:r>
    </w:p>
    <w:p w:rsidR="007F1EF5" w:rsidP="00C214F1" w:rsidRDefault="00C214F1">
      <w:pPr>
        <w:pStyle w:val="ListParagraph"/>
      </w:pPr>
      <w:r>
        <w:rPr>
          <w:i/>
        </w:rPr>
        <w:t>Maxus Capital v. TIMCO</w:t>
      </w:r>
      <w:r>
        <w:t xml:space="preserve"> </w:t>
      </w:r>
      <w:r>
        <w:t>, Cuyahoga County Court of Common Pleas, Ohio No. CV-11-750485, and Guilford County Superior Court, North Carolina No. 11 CVS 4152 (2011). Obtained commercial replevin of jet engine refurbishing equipment, while defending companion case in North Carolina.</w:t>
      </w:r>
      <w:r>
        <w:t xml:space="preserve"> </w:t>
      </w:r>
    </w:p>
    <w:p w:rsidR="007F1EF5" w:rsidP="00C214F1" w:rsidRDefault="00C214F1">
      <w:pPr>
        <w:pStyle w:val="ListParagraph"/>
      </w:pPr>
      <w:r>
        <w:rPr>
          <w:i/>
        </w:rPr>
        <w:t>Cornelius v. Fidelity National Title Co.</w:t>
      </w:r>
      <w:r>
        <w:t xml:space="preserve"> </w:t>
      </w:r>
      <w:r>
        <w:t>, U.S. District Court, W.D. Wash. Case No. 2:08-cv-00754 (2009). Defended escrow holder against claims by plaintiff consumers who sought to recover in excess of $5 million for reconveyance fees collected by the escrow holder. Obtained dismissal of some claims and then summary judgment as to the remaining claims.</w:t>
      </w:r>
      <w:r>
        <w:t xml:space="preserve"> </w:t>
      </w:r>
    </w:p>
    <w:p w:rsidR="007F1EF5" w:rsidP="00C214F1" w:rsidRDefault="00C214F1">
      <w:pPr>
        <w:pStyle w:val="ListParagraph"/>
      </w:pPr>
      <w:r>
        <w:rPr>
          <w:i/>
        </w:rPr>
        <w:t>Cliffs Sales Co. v. Am. Steamship Co.</w:t>
      </w:r>
      <w:r>
        <w:t xml:space="preserve"> </w:t>
      </w:r>
      <w:r>
        <w:t>, U.S. District Court for the Northern District of Ohio Nos. 1:07 CV 485, 1:07 CV 01466 (2008). Awarded $3.7 million jury verdict on commercial breach of contract claim.</w:t>
      </w:r>
      <w:r>
        <w:t xml:space="preserve"> </w:t>
      </w:r>
    </w:p>
    <w:p w:rsidR="007F1EF5" w:rsidP="00C214F1" w:rsidRDefault="00C214F1">
      <w:pPr>
        <w:pStyle w:val="ListParagraph"/>
      </w:pPr>
      <w:r>
        <w:t>Various confidential arbitrations involving breach of contract actions and healthcare claims.</w:t>
      </w:r>
      <w:r>
        <w:t xml:space="preserve"> </w:t>
      </w:r>
      <w:r>
        <w:rPr>
          <w:i/>
        </w:rPr>
        <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2007</w:t>
      </w:r>
      <w:r>
        <w:t xml:space="preserve"> </w:t>
      </w:r>
    </w:p>
    <w:p w:rsidR="007F1EF5" w:rsidP="00C214F1" w:rsidRDefault="00C214F1">
      <w:pPr>
        <w:pStyle w:val="ListParagraph"/>
      </w:pPr>
      <w:r>
        <w:t>U.S. District Courts for the Northern District of Ohio and Southern District of Ohio; U.S. Court of Appeals for the Tenth Circuit</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2007</w:t>
      </w:r>
      <w:r>
        <w:t xml:space="preserve"> </w:t>
      </w:r>
    </w:p>
    <w:p w:rsidR="007F1EF5" w:rsidP="00C214F1" w:rsidRDefault="00C214F1">
      <w:pPr>
        <w:ind w:left="705"/>
      </w:pPr>
      <w:r>
        <w:t>Dean's Scholarship; Bert &amp; Iris Wolstein Scholarship; Hispanic Law Student Association, Member</w:t>
      </w:r>
      <w:r>
        <w:t xml:space="preserve"> </w:t>
      </w:r>
    </w:p>
    <w:p w:rsidR="007F1EF5" w:rsidP="00C214F1" w:rsidRDefault="00C214F1">
      <w:pPr>
        <w:pStyle w:val="ListParagraph"/>
      </w:pPr>
      <w:r>
        <w:t>Bowling Green State University, B.A., History and Asian Studies, 2003</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2024-25</w:t>
      </w:r>
      <w:r>
        <w:t xml:space="preserve"> </w:t>
      </w:r>
    </w:p>
    <w:p w:rsidR="007F1EF5" w:rsidP="00C214F1" w:rsidRDefault="00C214F1">
      <w:pPr>
        <w:pStyle w:val="ListParagraph"/>
      </w:pPr>
      <w:r>
        <w:t>Crain’s Notable Latin Leaders, Crain’s Cleveland Business, 2023</w:t>
      </w:r>
      <w:r>
        <w:t xml:space="preserve"> </w:t>
      </w:r>
    </w:p>
    <w:p w:rsidR="007F1EF5" w:rsidP="00C214F1" w:rsidRDefault="00C214F1">
      <w:pPr>
        <w:pStyle w:val="ListParagraph"/>
      </w:pPr>
      <w:r>
        <w:t>Leadership Cleveland, Class of 2020</w:t>
      </w:r>
      <w:r>
        <w:t xml:space="preserve"> </w:t>
      </w:r>
    </w:p>
    <w:p w:rsidR="007F1EF5" w:rsidP="00C214F1" w:rsidRDefault="00C214F1">
      <w:pPr>
        <w:pStyle w:val="ListParagraph"/>
      </w:pPr>
      <w:r>
        <w:t>Forty Under 40 Honoree, Crain’s Cleveland Business, 2018</w:t>
      </w:r>
      <w:r>
        <w:t xml:space="preserve"> </w:t>
      </w:r>
    </w:p>
    <w:p w:rsidR="007F1EF5" w:rsidP="00C214F1" w:rsidRDefault="00C214F1">
      <w:pPr>
        <w:pStyle w:val="ListParagraph"/>
      </w:pPr>
      <w:r>
        <w:t>Rising Star, Ohio Super Lawyers®, 2014-17.</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Hispanic National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Epilepsy Association, President of the Board of Directors, 2020</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2016-present; Associate, 2007-15; Summer Associate, 2005-06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