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Chad J. Van Arnam</w:t>
            </w:r>
          </w:p>
          <w:p w14:paraId="721B5907" w14:textId="2CE3BDC0" w:rsidR="00781D57" w:rsidRDefault="00781D57" w:rsidP="00781D57">
            <w:pPr>
              <w:pStyle w:val="PersonTitle"/>
            </w:pPr>
            <w:r>
              <w:t>Administrative Staff</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216.297.4175</w:t>
            </w:r>
            <w:br/>
            <w:r>
              <w:rPr>
                <w:color w:val="337CB4"/>
              </w:rPr>
              <w:t xml:space="preserve">email </w:t>
            </w:r>
            <w:r>
              <w:rPr/>
              <w:t xml:space="preserve"> cvanarnam@hahnlaw.com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w:t>
            </w:r>
          </w:p>
        </w:tc>
      </w:tr>
    </w:tbl>
    <w:tbl>
      <w:tblGrid>
        <w:gridCol/>
      </w:tblGrid>
      <w:tr>
        <w:trPr/>
        <w:tc>
          <w:tcPr>
            <w:noWrap/>
          </w:tcPr>
          <w:p>
            <w:pPr/>
            <w:r>
              <w:rPr/>
              <w:t xml:space="preserve">Chad J. Van Arnam has 20 years of experience working collaboratively to deliver well-coordinated and complex projects in commercial markets.  As Director of Construction Services for Hahn Loeser, Chad works with clients to execute construction project management and risk management procedures and tackle complex project issues and challenges head-on across all construction segments and disciplines.  He provides operational guidance and consultation in the oversight of projects from the pre-planning phase of budgeting, bidding, and resource planning through the construction and turnover phase.  Chad works seamlessly with the Firm’s clients in developing, updating, and managing detailed project requirements and control documents, including schedules, budgets, change orders, project meeting agendas and minutes, essential tracking logs, and presentation material.  His extensive knowledge of the construction project process allows him to collaborate with clients and where necessary seamlessly with counsel for developing detailed preventative measures to avoid legal troubles during their projects.</w:t>
            </w:r>
          </w:p>
          <w:p>
            <w:pPr/>
            <w:r>
              <w:rPr/>
              <w:t xml:space="preserve">Prior to joining Hahn Loeser, Chad served as Senior Project Manager for Sodexo USA, representing University Hospitals Cleveland Medical Center. He also served as the Self-Perform Operations Manager and Project Manager for Turner Construction, overseeing multiple multi-million dollar construction projects.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Director of Construction Services / Senior Project Manager, Hahn Loeser &amp; Parks
</w:t>
      </w:r>
      <w:r>
        <w:t xml:space="preserve"> </w:t>
      </w:r>
      <w:r>
        <w:t>Truro Township Fire Station #161 – Reynoldsburg, OHHocking Hills State Park Visitor Center – Logan, OHVilla San Bernardo – Bedford, OHSunnybrook Pointe Apartments – Raleigh, NCCuyahoga Community College – Cleveland, OHCommodore Place Apartments – Cleveland, OHAloft Cleveland Beachwood – Beachwood, OHKentucky International Convention Center – Louisville, KYPDOT S.R. 1006 Berks County – Virginville, PAArmy Institute of Public Health Command Laboratory – Gunpowder, MDNASA Research Building – Cleveland, OHSecured Administration / Operations Facility – Belvoir, VACounty Line Road TR 93 Russell Township – Novelty, OHLima Refinery Sulfur Recovery Unit – Lima, OHODOT Roberts Road – Columbus, OHEleven Eleven Elmwood Apartments – Buffalo, NYOne Hundred Kingshighway – St. Louis, MOThe Beacon Residential Tower – Cleveland, OHPDOT S.R. 1023 Bradford County – Sayre, PAOSU Morehouse Chiller and Electrical Distribution – Columbus, OHODOT IR 75 Hancock – Findlay, OHBVQ Lofts – Cleveland, OHUranium Processing Facility – Oak Ridge, TNSuperior Refinery Rebuild – Superior, WIRickenbacker Air National Guard Base – Columbus, OHWVU Medicine Children’s Hospital – Morgantown, WVVillage at Town Center – Tallmadge, OHOrange Barrel Media – Columbus, OHWabash Cannonball Trail Interceptor – Whitehouse, OHCutts Road T.R. 72 – Hamden, OHSancus Boulevard Police Station – Columbus, OHBardstown Elementary School – Bardstown, KYNLEF Population Management – Toledo, OH171 Atlantic Rd – Gloucester, MAExchange Cedar Signalization – Akron, OHE-Beam Sterilization Facility – Vacaville, CA3800 Park East – Beachwood, OHConcord Fire Station #1 – Concord, OHDavidson Branch Pump Station – Nashville, TNEvangelical Community Hospital – Lewisburg, PAODOT Clinton Street S.R. 15 – Maumee, OHODOT IR 75 Lucas – Toledo, OHAmerica Walks at Port St. Lucie – Port Saint Lucie, FLRinehart Public Utilities Complex – Columbus, OHMcCourt School of Public Policy Capitol Campus – Washington, DC</w:t>
      </w:r>
      <w:r>
        <w:t xml:space="preserve"> </w:t>
      </w:r>
    </w:p>
    <w:p>
      <w:r>
        <w:t> </w:t>
      </w:r>
    </w:p>
    <w:p w:rsidR="007F1EF5" w:rsidP="00C214F1" w:rsidRDefault="00C214F1">
      <w:pPr>
        <w:pStyle w:val="ListParagraph"/>
      </w:pPr>
      <w:r>
        <w:t>Senior Project Manager / Owner’s Representative, University Hospitals – Cleveland Medical Center
</w:t>
      </w:r>
      <w:r>
        <w:t xml:space="preserve"> </w:t>
      </w:r>
      <w:r>
        <w:t>Angie Fowler Adolescent &amp; Young Adult Cancer InstituteAdvanced Intervention CenterAdult and Pediatric Epilepsy Monitoring UnitMedical and Psychiatric UnitNeonatal Intensive Care UnitCentral Sterile Processing Department</w:t>
      </w:r>
      <w:r>
        <w:t xml:space="preserve"> </w:t>
      </w:r>
    </w:p>
    <w:p>
      <w:r>
        <w:t> </w:t>
      </w:r>
    </w:p>
    <w:p w:rsidR="007F1EF5" w:rsidP="00C214F1" w:rsidRDefault="00C214F1">
      <w:pPr>
        <w:pStyle w:val="ListParagraph"/>
      </w:pPr>
      <w:r>
        <w:t>Self-Perform Operations Manager &amp; Project Manager, Turner Construction
</w:t>
      </w:r>
      <w:r>
        <w:t xml:space="preserve"> </w:t>
      </w:r>
      <w:r>
        <w:t>Health Education Campus – Case Western Reserve University and Cleveland Clinic Main CampusParma Medical Center – The MetroHealth SystemCleveland Heights Medical Center – The MetroHealth SystemMedical-Surgical Unit Renovation – Cleveland Clinic Marymount HospitalPharmacy – Cleveland Clinic Marymount HospitalAHU 4 – 35 Infrastructure Replacement – Cleveland Clinic Marymount HospitalCunningham Hall / Korb Hall / Smith Hall / Williams Hall – Kent State UniversityOhio Theatre – Playhouse SquareUH Independence Health Center – Park Center Plaza IIOR 11 &amp; 19 – Cleveland Clinic Hillcrest HospitalFamily Maternity Renovation – Cleveland Clinic Hillcrest HospitalMain Bed Tower Infrastructure and Medical-Surgical Unit Renovation – Cleveland Clinic Hillcrest HospitalOncology Suite and Pharmacy – Cleveland Clinic Hillcrest HospitalNeuroscience Institute Phase I &amp; II – Cleveland Clinic Hillcrest HospitalAngiography Suite – Cleveland Clinic Hillcrest HospitalMulti-Specialty Clinic – Cleveland Clinic Hillcrest HospitalUH Servery Renovations – Cleveland Medical Center, Geauga Medical Center, Management Service CenterCardiac Electrophysiological Catherization Lab – Cleveland Clinic Hillcrest HospitalAHU 4 – 5 – C – D Infrastructure Replacement – Cleveland Clinic Hillcrest HospitalCentral Processing Department Sterilizer – Cleveland Clinic Hillcrest HospitalRSM McGladrey – North Point TowerCGI – North Point TowerDefense Finance Accounting Services – North Point Tower</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Bachelor of Construction Engineering Technology, 2008</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Delays in Critical Material for Bridge Contractors: Managing Risk Through Proactive Planning and Strict Adherence to Notice Requirements</w:t>
      </w:r>
      <w:r>
        <w:t xml:space="preserve"> </w:t>
      </w:r>
    </w:p>
    <w:p w:rsidR="007F1EF5" w:rsidP="00C214F1" w:rsidRDefault="00C214F1">
      <w:pPr>
        <w:pStyle w:val="ListParagraph"/>
      </w:pPr>
      <w:r>
        <w:t>Negotiating Damages in Constructions Disputes</w:t>
      </w:r>
      <w:r>
        <w:t xml:space="preserve"> </w:t>
      </w:r>
    </w:p>
    <w:p w:rsidR="007F1EF5" w:rsidP="00C214F1" w:rsidRDefault="00C214F1">
      <w:pPr>
        <w:pStyle w:val="ListParagraph"/>
      </w:pPr>
      <w:r>
        <w:t>Bidding Documents: Construction Contract Workshop (Halfmoon Education Inc.)</w:t>
      </w:r>
      <w:r>
        <w:t xml:space="preserve"> </w:t>
      </w:r>
    </w:p>
    <w:p w:rsidR="007F1EF5" w:rsidP="00C214F1" w:rsidRDefault="00C214F1">
      <w:pPr>
        <w:pStyle w:val="ListParagraph"/>
      </w:pPr>
      <w:r>
        <w:t>Construction Law Hot Topics (National Business Institute)</w:t>
      </w:r>
      <w:r>
        <w:t xml:space="preserve"> </w:t>
      </w:r>
    </w:p>
    <w:p w:rsidR="007F1EF5" w:rsidP="00C214F1" w:rsidRDefault="00C214F1">
      <w:pPr>
        <w:pStyle w:val="ListParagraph"/>
      </w:pPr>
      <w:r>
        <w:t>Reviewing Bidding Documents</w:t>
      </w:r>
      <w:r>
        <w:t xml:space="preserve"> </w:t>
      </w:r>
    </w:p>
    <w:p w:rsidR="007F1EF5" w:rsidP="00C214F1" w:rsidRDefault="00C214F1">
      <w:pPr>
        <w:pStyle w:val="ListParagraph"/>
      </w:pPr>
      <w:r>
        <w:t>Mitigating Financial Risks on Construction Projects – Protecting the Bottom Line (CICPAC Annual Conference)</w:t>
      </w:r>
      <w:r>
        <w:t xml:space="preserve"> </w:t>
      </w:r>
    </w:p>
    <w:p w:rsidR="007F1EF5" w:rsidP="00C214F1" w:rsidRDefault="00C214F1">
      <w:pPr>
        <w:pStyle w:val="ListParagraph"/>
      </w:pPr>
      <w:r>
        <w:t>How Can We Overcome Material Procurement and Delivery Risks in Our Industry? (Properties Magazine)</w:t>
      </w:r>
      <w:r>
        <w:t xml:space="preserve"> </w:t>
      </w:r>
    </w:p>
    <w:p w:rsidR="007F1EF5" w:rsidP="00C214F1" w:rsidRDefault="00C214F1">
      <w:pPr>
        <w:pStyle w:val="ListParagraph"/>
      </w:pPr>
      <w:r>
        <w:t>Protect Project Profits and Mitigate Risk with Proper Documentation</w:t>
      </w:r>
      <w:r>
        <w:t xml:space="preserve"> </w:t>
      </w:r>
    </w:p>
    <w:p w:rsidR="007F1EF5" w:rsidP="00C214F1" w:rsidRDefault="00C214F1">
      <w:pPr>
        <w:pStyle w:val="ListParagraph"/>
      </w:pPr>
      <w:r>
        <w:t>Determining Responsibility &amp; Remedy for Delays (National Business Institute)</w:t>
      </w:r>
      <w:r>
        <w:t xml:space="preserve"> </w:t>
      </w:r>
    </w:p>
    <w:p w:rsidR="007F1EF5" w:rsidP="00C214F1" w:rsidRDefault="00C214F1">
      <w:pPr>
        <w:pStyle w:val="ListParagraph"/>
      </w:pPr>
      <w:r>
        <w:t>Essential Practices for More Effective Schedule, Cost, Change, Impact, and Claims Management</w:t>
      </w:r>
      <w:r>
        <w:t xml:space="preserve"> </w:t>
      </w:r>
    </w:p>
    <w:p w:rsidR="007F1EF5" w:rsidP="00C214F1" w:rsidRDefault="00C214F1">
      <w:pPr>
        <w:pStyle w:val="ListParagraph"/>
      </w:pPr>
      <w:r>
        <w:t>Calculating the Financial Impact of COVID for Skilled Trades (Assured Partners)</w:t>
      </w:r>
      <w:r>
        <w:t xml:space="preserve"> </w:t>
      </w:r>
    </w:p>
    <w:p w:rsidR="007F1EF5" w:rsidP="00C214F1" w:rsidRDefault="00C214F1">
      <w:pPr>
        <w:pStyle w:val="ListParagraph"/>
      </w:pPr>
      <w:r>
        <w:t>Management of Project Schedule Impact and Delay Claims (Foundation Software)</w:t>
      </w:r>
      <w:r>
        <w:t xml:space="preserve"> </w:t>
      </w:r>
    </w:p>
    <w:p w:rsidR="007F1EF5" w:rsidP="00C214F1" w:rsidRDefault="00C214F1">
      <w:pPr>
        <w:pStyle w:val="ListParagraph"/>
      </w:pPr>
      <w:r>
        <w:t>Construction Defects, Faulty Workmanship &amp; Risk Management Implications (Assured Partners)</w:t>
      </w:r>
      <w:r>
        <w:t xml:space="preserve"> </w:t>
      </w:r>
    </w:p>
    <w:p w:rsidR="007F1EF5" w:rsidP="00C214F1" w:rsidRDefault="00C214F1">
      <w:pPr>
        <w:pStyle w:val="Heading2"/>
      </w:pPr>
      <w:r w:rsidRPr="009328C8">
        <w:t>Professional History</w:t>
      </w:r>
    </w:p>
    <w:p w:rsidR="007F1EF5" w:rsidP="00C214F1" w:rsidRDefault="00C214F1">
      <w:pPr>
        <w:pStyle w:val="ListParagraph"/>
      </w:pPr>
      <w:r>
        <w:t>Director of Construction Services, Hahn Loeser &amp; Parks LLP, 2023-present</w:t>
      </w:r>
      <w:r>
        <w:t xml:space="preserve"> </w:t>
      </w:r>
    </w:p>
    <w:p w:rsidR="007F1EF5" w:rsidP="00C214F1" w:rsidRDefault="00C214F1">
      <w:pPr>
        <w:pStyle w:val="ListParagraph"/>
      </w:pPr>
      <w:r>
        <w:t>Senior Project Manager, Hahn Loeser &amp; Parks LLP, 2019-22</w:t>
      </w:r>
      <w:r>
        <w:t xml:space="preserve"> </w:t>
      </w:r>
    </w:p>
    <w:p w:rsidR="007F1EF5" w:rsidP="00C214F1" w:rsidRDefault="00C214F1">
      <w:pPr>
        <w:pStyle w:val="ListParagraph"/>
      </w:pPr>
      <w:r>
        <w:t>Senior Project Manager, Sodexo USA Construction Services, 2018-19</w:t>
      </w:r>
      <w:r>
        <w:t xml:space="preserve"> </w:t>
      </w:r>
    </w:p>
    <w:p w:rsidR="007F1EF5" w:rsidP="00C214F1" w:rsidRDefault="00C214F1">
      <w:pPr>
        <w:pStyle w:val="ListParagraph"/>
      </w:pPr>
      <w:r>
        <w:t>Self-Perform Operations Manager &amp; Project Manager, Turner Construction, 2008-17</w:t>
      </w:r>
      <w:r>
        <w:t xml:space="preserve"> </w:t>
      </w:r>
    </w:p>
    <w:p w:rsidR="007F1EF5" w:rsidP="00C214F1" w:rsidRDefault="00C214F1">
      <w:pPr>
        <w:pStyle w:val="ListParagraph"/>
      </w:pPr>
      <w:r>
        <w:t>Part Owner, Van Arnam Bros., 2005-08</w:t>
      </w:r>
      <w:r>
        <w:t xml:space="preserve"> </w:t>
      </w:r>
    </w:p>
    <w:p w:rsidR="007F1EF5" w:rsidP="00C214F1" w:rsidRDefault="00C214F1">
      <w:pPr>
        <w:pStyle w:val="ListParagraph"/>
      </w:pPr>
      <w:r>
        <w:t>Assistant Superintendent, Gatliff Custom Builders, 2003-05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