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Andrew J. Natale</w:t>
            </w:r>
          </w:p>
          <w:p w14:paraId="721B5907" w14:textId="2CE3BDC0" w:rsidR="00781D57" w:rsidRDefault="00781D57" w:rsidP="00781D57">
            <w:pPr>
              <w:pStyle w:val="PersonTitle"/>
            </w:pPr>
            <w:r>
              <w:t>Senior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216.274.2320</w:t>
            </w:r>
            <w:br/>
            <w:r>
              <w:rPr>
                <w:color w:val="337CB4"/>
              </w:rPr>
              <w:t xml:space="preserve">email </w:t>
            </w:r>
            <w:r>
              <w:rPr/>
              <w:t xml:space="preserve"> anatale@hahnlaw.com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Construction</w:t>
            </w:r>
          </w:p>
        </w:tc>
      </w:tr>
    </w:tbl>
    <w:tbl>
      <w:tblGrid>
        <w:gridCol/>
      </w:tblGrid>
      <w:tr>
        <w:trPr/>
        <w:tc>
          <w:tcPr>
            <w:noWrap/>
          </w:tcPr>
          <w:p>
            <w:pPr>
              <w:jc w:val="start"/>
            </w:pPr>
            <w:r>
              <w:rPr/>
              <w:t xml:space="preserve">Andrew J. Natale devotes his practice solely to construction law, where he represents general contractors, design/builders, surety companies, subcontractors, specialty trades, suppliers, manufacturers, developers, lenders, owners, and design professionals in all aspects of construction law, including arbitration, mediation and complex commercial litigation.</w:t>
            </w:r>
          </w:p>
          <w:p>
            <w:pPr>
              <w:jc w:val="start"/>
            </w:pPr>
            <w:r>
              <w:rPr/>
              <w:t xml:space="preserve">Andy has extensive experience with construction-related litigation, mediation, arbitration, claims management and avoidance, insurance coverage, and contract negotiation. His national recognition comes from his experience as an arbitrator and mediator for complex construction disputes.</w:t>
            </w:r>
          </w:p>
          <w:p>
            <w:pPr>
              <w:jc w:val="start"/>
            </w:pPr>
            <w:r>
              <w:rPr/>
              <w:t xml:space="preserve">Andy’s significant experience includes representing and counseling clients in construction project risk management and project documentation, claims development and defense, lien and bond claim issues, schedule disputes, extra work and defective work issues, insurance coverage matters, and competitive bid contests. Andy’s industry recognitions are considerable. He’s been selected for 20 consecutive years to  Ohio Super Lawyers®, four selections to Top 100 Ohio Super Lawyers, and as a Best Lawyers® Cleveland Lawyer of the Year.</w:t>
            </w:r>
          </w:p>
          <w:p>
            <w:pPr>
              <w:jc w:val="start"/>
            </w:pPr>
            <w:r>
              <w:rPr/>
              <w:t xml:space="preserve">Andy is a frequent lecturer on a variety of construction law topics, including mechanics’ lien and bond law, construction claims and liability theories, project and claim documentation, competitive bidding, schedule issues, alternative dispute resolution, design professional liability, and construction defects.</w:t>
            </w:r>
          </w:p>
          <w:p>
            <w:pPr>
              <w:jc w:val="start"/>
            </w:pPr>
            <w:r>
              <w:rPr/>
              <w:t xml:space="preserve">He is certified by the Associated General Contractors of Ohio and the AGC of America to teach Building Information Modeling (BIM) courses, the Project Manager Development Program, and Risk Management courses. He also participates regularly as a speaker for Lorman Education, NBI, the Construction Employers Association, and on a variety of alternative dispute resolution topics for the American Arbitration Association.</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U.S. Courts of Appeals for the Sixth Circuit and Federal; U.S. District Courts for the Northern District of Ohio and Southern District of Ohio</w:t>
      </w:r>
      <w:r>
        <w:t xml:space="preserve"> </w:t>
      </w:r>
    </w:p>
    <w:p w:rsidR="007F1EF5" w:rsidP="00C214F1" w:rsidRDefault="00C214F1">
      <w:pPr>
        <w:pStyle w:val="ListParagraph"/>
      </w:pPr>
      <w:r>
        <w:t>AAA Panel of Construction Industry Neutrals, including Large Complex Case Neutrals</w:t>
      </w:r>
      <w:r>
        <w:t xml:space="preserve"> </w:t>
      </w:r>
    </w:p>
    <w:p w:rsidR="007F1EF5" w:rsidP="00C214F1" w:rsidRDefault="00C214F1">
      <w:pPr>
        <w:pStyle w:val="Heading2"/>
      </w:pPr>
      <w:r w:rsidRPr="009328C8">
        <w:t>EDUCATION</w:t>
      </w:r>
    </w:p>
    <w:p w:rsidR="007F1EF5" w:rsidP="00C214F1" w:rsidRDefault="00C214F1">
      <w:pPr>
        <w:pStyle w:val="ListParagraph"/>
      </w:pPr>
      <w:r>
        <w:t>University of Cincinnati College of Law, J.D., 1989</w:t>
      </w:r>
      <w:r>
        <w:t xml:space="preserve"> </w:t>
      </w:r>
    </w:p>
    <w:p w:rsidR="007F1EF5" w:rsidP="00C214F1" w:rsidRDefault="00C214F1">
      <w:pPr>
        <w:pStyle w:val="ListParagraph"/>
      </w:pPr>
      <w:r>
        <w:t>University of Dayton B.A., 1986</w:t>
      </w:r>
      <w:r>
        <w:t xml:space="preserve"> </w:t>
      </w:r>
    </w:p>
    <w:p w:rsidR="007F1EF5" w:rsidP="00C214F1" w:rsidRDefault="00C214F1">
      <w:pPr>
        <w:pStyle w:val="Heading2"/>
      </w:pPr>
      <w:r w:rsidRPr="009328C8">
        <w:t>AWARDS &amp; HONORS</w:t>
      </w:r>
    </w:p>
    <w:p w:rsidR="007F1EF5" w:rsidP="00C214F1" w:rsidRDefault="00C214F1">
      <w:pPr>
        <w:pStyle w:val="ListParagraph"/>
      </w:pPr>
      <w:r>
        <w:t>Distinguished Service Award, Ohio Contractors Association, 2018</w:t>
      </w:r>
      <w:r>
        <w:t xml:space="preserve"> </w:t>
      </w:r>
    </w:p>
    <w:p w:rsidR="007F1EF5" w:rsidP="00C214F1" w:rsidRDefault="00C214F1">
      <w:pPr>
        <w:pStyle w:val="ListParagraph"/>
      </w:pPr>
      <w:r>
        <w:t>Ohio Super Lawyers®, Construction Litigation, 2004-2024; Top 50 Cleveland Super Lawyers, 2018, 2021-22; Top 100 Ohio Super Lawyers, 2011, 2018, 2021-22</w:t>
      </w:r>
      <w:r>
        <w:t xml:space="preserve"> </w:t>
      </w:r>
    </w:p>
    <w:p w:rsidR="007F1EF5" w:rsidP="00C214F1" w:rsidRDefault="00C214F1">
      <w:pPr>
        <w:pStyle w:val="ListParagraph"/>
      </w:pPr>
      <w:r>
        <w:t>The Best Lawyers in America®, Construction Law, 2006-25; Litigation-Construction, 2019-25; Commercial Litigation, 2019-25; Cleveland Lawyer of the Year, Construction, 2012, 2017, Construction – Litigation 2023</w:t>
      </w:r>
      <w:r>
        <w:t xml:space="preserve"> </w:t>
      </w:r>
    </w:p>
    <w:p w:rsidR="007F1EF5" w:rsidP="00C214F1" w:rsidRDefault="00C214F1">
      <w:pPr>
        <w:pStyle w:val="ListParagraph"/>
      </w:pPr>
      <w:r>
        <w:t>ChambersUSA, Construction, 2003-24</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International Who’s Who of Construction Lawyers</w:t>
      </w:r>
      <w:r>
        <w:t xml:space="preserve"> </w:t>
      </w:r>
    </w:p>
    <w:p w:rsidR="007F1EF5" w:rsidP="00C214F1" w:rsidRDefault="00C214F1">
      <w:pPr>
        <w:pStyle w:val="ListParagraph"/>
      </w:pPr>
      <w:r>
        <w:t>Hero Award, ALS Association, 2020</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Contracting Issues for 2022</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Arbitration Association’s Forum on Construction Industry, Panel Member, Construction Industry Arbitrator, Mediator, 1993-present</w:t>
      </w:r>
      <w:r>
        <w:t xml:space="preserve"> </w:t>
      </w:r>
    </w:p>
    <w:p w:rsidR="007F1EF5" w:rsidP="00C214F1" w:rsidRDefault="00C214F1">
      <w:pPr>
        <w:pStyle w:val="ListParagraph"/>
      </w:pPr>
      <w:r>
        <w:t>Construction Employers Association, Member</w:t>
      </w:r>
      <w:r>
        <w:t xml:space="preserve"> </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Ohio Contractors Association, Member</w:t>
      </w:r>
      <w:r>
        <w:t xml:space="preserve"> </w:t>
      </w:r>
    </w:p>
    <w:p w:rsidR="007F1EF5" w:rsidP="00C214F1" w:rsidRDefault="00C214F1">
      <w:pPr>
        <w:pStyle w:val="ListParagraph"/>
      </w:pPr>
      <w:r>
        <w:t>Surety Association of Ohio, Member</w:t>
      </w:r>
      <w:r>
        <w:t xml:space="preserve"> </w:t>
      </w:r>
    </w:p>
    <w:p w:rsidR="007F1EF5" w:rsidP="00C214F1" w:rsidRDefault="00C214F1">
      <w:pPr>
        <w:pStyle w:val="Heading2"/>
      </w:pPr>
      <w:r w:rsidRPr="009328C8">
        <w:t>COMMUNITY INVOLVEMENT</w:t>
      </w:r>
    </w:p>
    <w:p w:rsidR="007F1EF5" w:rsidP="00C214F1" w:rsidRDefault="00C214F1">
      <w:pPr>
        <w:pStyle w:val="ListParagraph"/>
      </w:pPr>
      <w:r>
        <w:t>Diocese of Cleveland CYO Athletics, 7th &amp; 8th Grade, Football Coach, 20 years</w:t>
      </w:r>
      <w:r>
        <w:t xml:space="preserve"> </w:t>
      </w:r>
    </w:p>
    <w:p w:rsidR="007F1EF5" w:rsidP="00C214F1" w:rsidRDefault="00C214F1">
      <w:pPr>
        <w:pStyle w:val="ListParagraph"/>
      </w:pPr>
      <w:r>
        <w:t>Diocese of Cleveland CYO Hall of Fame, Inductee, 2017</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