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media/image_rId11_document.png" ContentType="image/png"/>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3116"/>
        <w:gridCol w:w="3359"/>
        <w:gridCol w:w="2875"/>
      </w:tblGrid>
      <w:tr w:rsidR="00781D57" w14:paraId="1E336079" w14:textId="77777777" w:rsidTr="00093AF1">
        <w:tc>
          <w:tcPr>
            <w:tcW w:w="3116" w:type="dxa"/>
            <w:vMerge w:val="restart"/>
          </w:tcPr>
          <w:p w14:paraId="783BAFB5" w14:textId="6D1AE821" w:rsidR="00781D57" w:rsidRDefault="00093AF1" w:rsidP="00093AF1">
            <w:pPr>
              <w:pStyle w:val="BulletedList"/>
              <w:numPr>
                <w:ilvl w:val="0"/>
                <w:numId w:val="0"/>
              </w:numPr>
            </w:pPr>
            <w:r>
              <w:rPr>
                <w:noProof/>
              </w:rPr>
              <w:t/>
              <w:pict>
                <v:shape type="#_x0000_t75" style="width:192px;height:192px" stroked="f">
                  <v:imagedata r:id="rId11" o:title=""/>
                </v:shape>
              </w:pict>
              <w:t/>
            </w:r>
          </w:p>
        </w:tc>
        <w:tc>
          <w:tcPr>
            <w:tcW w:w="6234" w:type="dxa"/>
            <w:gridSpan w:val="2"/>
            <w:vAlign w:val="bottom"/>
          </w:tcPr>
          <w:p w14:paraId="45E2E7CF" w14:textId="77777777" w:rsidR="00781D57" w:rsidRDefault="00781D57" w:rsidP="00781D57">
            <w:pPr>
              <w:pStyle w:val="PersonName"/>
            </w:pPr>
            <w:r>
              <w:t>Anandita Vyakarnam</w:t>
            </w:r>
          </w:p>
          <w:p w14:paraId="721B5907" w14:textId="2CE3BDC0" w:rsidR="00781D57" w:rsidRDefault="00781D57" w:rsidP="00781D57">
            <w:pPr>
              <w:pStyle w:val="PersonTitle"/>
            </w:pPr>
            <w:r>
              <w:t>Partner</w:t>
            </w:r>
          </w:p>
        </w:tc>
      </w:tr>
      <w:tr w:rsidR="00781D57" w14:paraId="09E547C5" w14:textId="77777777" w:rsidTr="00093AF1">
        <w:tc>
          <w:tcPr>
            <w:tcW w:w="3116" w:type="dxa"/>
            <w:vMerge/>
          </w:tcPr>
          <w:p w14:paraId="3408D068" w14:textId="77777777" w:rsidR="00781D57" w:rsidRDefault="00781D57"/>
        </w:tc>
        <w:tc>
          <w:tcPr>
            <w:tcW w:w="3359" w:type="dxa"/>
          </w:tcPr>
          <w:p w14:paraId="51300670" w14:textId="02FED012" w:rsidR="00781D57" w:rsidRDefault="00781D57" w:rsidP="00781D57">
            <w:r>
              <w:rPr>
                <w:color w:val="337CB4"/>
              </w:rPr>
              <w:t xml:space="preserve">phone</w:t>
            </w:r>
            <w:r>
              <w:rPr/>
              <w:t xml:space="preserve"> 312.637.3070</w:t>
            </w:r>
            <w:br/>
            <w:r>
              <w:rPr>
                <w:color w:val="337CB4"/>
              </w:rPr>
              <w:t xml:space="preserve">email </w:t>
            </w:r>
            <w:r>
              <w:rPr/>
              <w:t xml:space="preserve"> avyakarnam@hahnlaw.com</w:t>
            </w:r>
          </w:p>
        </w:tc>
        <w:tc>
          <w:tcPr>
            <w:tcW w:w="2875" w:type="dxa"/>
          </w:tcPr>
          <w:p w14:paraId="3A73DCAA" w14:textId="4B7BD9BB" w:rsidR="00781D57" w:rsidRPr="00781D57" w:rsidRDefault="00781D57">
            <w:pPr>
              <w:rPr>
                <w:color w:val="337CB4"/>
              </w:rPr>
            </w:pPr>
            <w:r>
              <w:rPr>
                <w:color w:val="337CB4"/>
              </w:rPr>
              <w:t xml:space="preserve">Hahn Loeser &amp; Parks LLP</w:t>
            </w:r>
            <w:r>
              <w:rPr/>
              <w:t xml:space="preserve">
                <w:br/>
              </w:t>
            </w:r>
            <w:r>
              <w:rPr/>
              <w:t xml:space="preserve">200 West Madison Street</w:t>
            </w:r>
            <w:r>
              <w:rPr/>
              <w:t xml:space="preserve">
                <w:br/>
              </w:t>
            </w:r>
            <w:r>
              <w:rPr/>
              <w:t xml:space="preserve">Suite 2700</w:t>
            </w:r>
            <w:r>
              <w:rPr/>
              <w:t xml:space="preserve">
                <w:br/>
              </w:t>
            </w:r>
            <w:r>
              <w:rPr/>
              <w:t xml:space="preserve">Chicago, Illinois 60606</w:t>
            </w:r>
            <w:r>
              <w:rPr/>
              <w:t xml:space="preserve">
                <w:br/>
              </w:t>
            </w:r>
          </w:p>
        </w:tc>
      </w:tr>
    </w:tbl>
    <w:tbl>
      <w:tblPr>
        <w:tblStyle w:val="TableGrid"/>
        <w:tblpPr w:leftFromText="187" w:rightFromText="187" w:bottomFromText="180" w:vertAnchor="text" w:horzAnchor="margin" w:tblpY="30"/>
        <w:tblW w:w="0" w:type="auto"/>
        <w:tblBorders>
          <w:top w:val="single" w:sz="4" w:space="0" w:color="337CB4"/>
          <w:left w:val="none" w:sz="0" w:space="0" w:color="auto"/>
          <w:bottom w:val="single" w:sz="4" w:space="0" w:color="337CB4"/>
          <w:right w:val="none" w:sz="0" w:space="0" w:color="auto"/>
          <w:insideH w:val="none" w:sz="0" w:space="0" w:color="auto"/>
          <w:insideV w:val="none" w:sz="0" w:space="0" w:color="auto"/>
        </w:tblBorders>
        <w:tblCellMar>
          <w:top w:w="90" w:type="dxa"/>
          <w:left w:w="187" w:type="dxa"/>
          <w:bottom w:w="90" w:type="dxa"/>
          <w:right w:w="187" w:type="dxa"/>
        </w:tblCellMar>
        <w:tblLook w:val="04A0" w:firstRow="1" w:lastRow="0" w:firstColumn="1" w:lastColumn="0" w:noHBand="0" w:noVBand="1"/>
      </w:tblPr>
      <w:tblGrid>
        <w:gridCol w:w="9360"/>
      </w:tblGrid>
      <w:tr w:rsidR="00211CDD" w14:paraId="5BC8BDDD" w14:textId="77777777" w:rsidTr="00847613">
        <w:tc>
          <w:tcPr>
            <w:tcW w:w="9360" w:type="dxa"/>
            <w:shd w:val="clear" w:color="auto" w:fill="auto"/>
          </w:tcPr>
          <w:p w14:paraId="2ED30C85" w14:textId="77777777" w:rsidR="00211CDD" w:rsidRPr="00C32972" w:rsidRDefault="00211CDD" w:rsidP="00847613">
            <w:pPr>
              <w:pStyle w:val="PracticesTitle"/>
              <w:framePr w:hSpace="0" w:wrap="auto" w:vAnchor="margin" w:hAnchor="text" w:yAlign="inline"/>
            </w:pPr>
            <w:r w:rsidRPr="00C32972">
              <w:t>PRIMARY PRACTICES</w:t>
            </w:r>
          </w:p>
          <w:p w14:paraId="719427D3" w14:textId="77777777" w:rsidR="00211CDD" w:rsidRDefault="00211CDD" w:rsidP="00847613">
            <w:r>
              <w:t>Intellectual Property, Patents</w:t>
            </w:r>
          </w:p>
        </w:tc>
      </w:tr>
    </w:tbl>
    <w:tbl>
      <w:tblGrid>
        <w:gridCol/>
      </w:tblGrid>
      <w:tr>
        <w:trPr/>
        <w:tc>
          <w:tcPr>
            <w:noWrap/>
          </w:tcPr>
          <w:p>
            <w:pPr/>
            <w:r>
              <w:rPr/>
              <w:t xml:space="preserve">Anandita Vyakarnam focuses her practice on intellectual property matters. She is admitted to the Patent Bar and brings two decades of experience to her practice that includes complex patent litigation, patent counseling and opinions, IP due diligence, licensing, prosecution and post-grant patent review.</w:t>
            </w:r>
          </w:p>
          <w:p>
            <w:pPr/>
            <w:r>
              <w:rPr/>
              <w:t xml:space="preserve">Anandita has significant expertise in patent litigations concerning pharmaceutical drug products and Abbreviated New Drug Applications.  She has served as trial counsel in multiple litigations and has earned successful results for clients at the claim construction, trial and appellate levels. She has represented major pharmaceutical corporations in Hatch-Waxman litigations involving drugs for treating cancer, HIV, type-2 diabetes, high cholesterol, heartburn and Alzheimer’s disease, among others. Outside of the Hatch-Waxman space, she has litigated cases and advised clients in technology areas including chemical, medical devices, biotechnology, cosmetics, digital marketing technology, medical diagnostics, consumer products and mechanical devices.</w:t>
            </w:r>
          </w:p>
          <w:p>
            <w:pPr/>
            <w:r>
              <w:rPr/>
              <w:t xml:space="preserve">In addition to her litigation practice, Anandita counsels clients on the drug approval process under the Hatch-Waxman Act including developing strategies for marketing drug products, designing around patents, and evaluating competitive patents. She has also counseled clients in evaluating intellectual property in the context of mergers and acquisitions and other corporate transactions, evaluating confidentiality, licensing, settlement and noncompetition agreements, developing domestic and international patent prosecution portfolios and post-grant patent practice before the US Patent and Trademark Office. Anandita’s scientific background and experience with litigation, patent prosecution and corporate transactions enables her to help clients develop strategies that keep their business objectives at the forefront.</w:t>
            </w:r>
          </w:p>
          <w:p>
            <w:pPr/>
            <w:r>
              <w:rPr/>
              <w:t xml:space="preserve">Anandita has a Ph.D. in biochemistry and molecular biology. She completed postdoctoral fellowship in oncology with a focus on identification of genetic alterations that drive tumorigenesis.</w:t>
            </w:r>
          </w:p>
        </w:tc>
      </w:tr>
    </w:tbl>
    <w:p w14:paraId="11BF6E3F" w14:textId="219D0FDB" w:rsidR="00FC0ED6" w:rsidRPr="00F177A2" w:rsidRDefault="00CE6A9F" w:rsidP="00F177A2">
      <w:pPr>
        <w:shd w:val="clear" w:color="auto" w:fill="FFFFFF"/>
        <w:spacing w:after="0" w:line="285" w:lineRule="atLeast"/>
        <w:rPr>
          <w:rFonts w:eastAsia="Times New Roman"/>
          <w:kern w:val="0"/>
          <w:sz w:val="21"/>
          <w:szCs w:val="21"/>
          <w14:ligatures w14:val="none"/>
        </w:rPr>
      </w:pPr>
      <w:r>
        <w:rPr>
          <w:rFonts w:eastAsia="Times New Roman"/>
          <w:kern w:val="0"/>
          <w:sz w:val="21"/>
          <w:szCs w:val="21"/>
          <w14:ligatures w14:val="none"/>
        </w:rPr>
        <w:t/>
      </w:r>
    </w:p>
    <w:p w:rsidR="007F1EF5" w:rsidP="00C214F1" w:rsidRDefault="00C214F1">
      <w:pPr>
        <w:pStyle w:val="Heading2"/>
      </w:pPr>
      <w:r w:rsidRPr="009328C8">
        <w:t>REPRESENTATIVE EXPERIENCE</w:t>
      </w:r>
    </w:p>
    <w:p w:rsidR="007F1EF5" w:rsidP="00C214F1" w:rsidRDefault="00C214F1">
      <w:pPr>
        <w:pStyle w:val="ListParagraph"/>
      </w:pPr>
      <w:r>
        <w:t>Counsel for Dr. Reddy’s Laboratories, Inc. in Hatch-Waxman litigation involving Mucinex D</w:t>
      </w:r>
      <w:r>
        <w:t xml:space="preserve"> </w:t>
      </w:r>
      <w:r w:rsidRPr="00CD6991">
        <w:rPr>
          <w:rStyle w:val="P(HH)"/>
          <w:vertAlign w:val="superscript"/>
        </w:rPr>
        <w:t xml:space="default">®</w:t>
      </w:r>
      <w:r>
        <w:t> (Guaifenesin and Pseudoephedrine). Obtained successful trial verdict of non-infringement followed by affirmance on appeal by the Court of Appeals for the Federal Circuit. </w:t>
      </w:r>
      <w:r>
        <w:t xml:space="preserve"> </w:t>
      </w:r>
      <w:r>
        <w:rPr>
          <w:i/>
        </w:rPr>
        <w:t>Reckitt Benckiser LLC v. Dr. Reddy’s Laboratories, Inc.</w:t>
      </w:r>
      <w:r>
        <w:t xml:space="preserve"> </w:t>
      </w:r>
      <w:r>
        <w:t> (D.N.J.).</w:t>
      </w:r>
      <w:r>
        <w:t xml:space="preserve"> </w:t>
      </w:r>
    </w:p>
    <w:p w:rsidR="007F1EF5" w:rsidP="00C214F1" w:rsidRDefault="00C214F1">
      <w:pPr>
        <w:pStyle w:val="ListParagraph"/>
      </w:pPr>
      <w:r>
        <w:t>Counsel for Dr. Reddy’s Laboratories, Inc. in litigation involving Omeprazole OTC. During trial, Plaintiffs consented to a judgment of non-infringement after effective cross examination of their key expert witness. </w:t>
      </w:r>
      <w:r>
        <w:t xml:space="preserve"> </w:t>
      </w:r>
      <w:r>
        <w:rPr>
          <w:i/>
        </w:rPr>
        <w:t>Dexcel Pharma Technologies Ltd. v. Dr. Reddy’s Laboratories, Ltd</w:t>
      </w:r>
      <w:r>
        <w:t xml:space="preserve"> </w:t>
      </w:r>
      <w:r>
        <w:t>. (D.N.J.).</w:t>
      </w:r>
      <w:r>
        <w:t xml:space="preserve"> </w:t>
      </w:r>
    </w:p>
    <w:p w:rsidR="007F1EF5" w:rsidP="00C214F1" w:rsidRDefault="00C214F1">
      <w:pPr>
        <w:pStyle w:val="ListParagraph"/>
      </w:pPr>
      <w:r>
        <w:t>Counsel for Amneal Pharmaceuticals LLC in obtaining successful trial verdict of non-infringement in a case involving Nasonex</w:t>
      </w:r>
      <w:r>
        <w:t xml:space="preserve"> </w:t>
      </w:r>
      <w:r w:rsidRPr="00CD6991">
        <w:rPr>
          <w:rStyle w:val="P(HH)"/>
          <w:vertAlign w:val="superscript"/>
        </w:rPr>
        <w:t xml:space="default">®</w:t>
      </w:r>
      <w:r>
        <w:t> (Mometasone Furoate), and affirmance on appeal by the Court of Appeals for the Federal Circuit. </w:t>
      </w:r>
      <w:r>
        <w:t xml:space="preserve"> </w:t>
      </w:r>
      <w:r>
        <w:rPr>
          <w:i/>
        </w:rPr>
        <w:t>Merck Sharp &amp; Dohme Corp. v. Amneal Pharmaceuticals, LLC</w:t>
      </w:r>
      <w:r>
        <w:t xml:space="preserve"> </w:t>
      </w:r>
      <w:r>
        <w:t> (D. Del.).</w:t>
      </w:r>
      <w:r>
        <w:t xml:space="preserve"> </w:t>
      </w:r>
    </w:p>
    <w:p w:rsidR="007F1EF5" w:rsidP="00C214F1" w:rsidRDefault="00C214F1">
      <w:pPr>
        <w:pStyle w:val="ListParagraph"/>
      </w:pPr>
      <w:r>
        <w:t>Counsel for Amneal Pharmaceuticals LLC in securing a ruling, at claim construction, that the asserted claims were invalid for indefiniteness in a litigation involving Namenda</w:t>
      </w:r>
      <w:r>
        <w:t xml:space="preserve"> </w:t>
      </w:r>
      <w:r w:rsidRPr="00CD6991">
        <w:rPr>
          <w:rStyle w:val="P(HH)"/>
          <w:vertAlign w:val="superscript"/>
        </w:rPr>
        <w:t xml:space="default">®</w:t>
      </w:r>
      <w:r>
        <w:t> XR (Memantine Hydrochloride). The decision was affirmed on appeal. </w:t>
      </w:r>
      <w:r>
        <w:t xml:space="preserve"> </w:t>
      </w:r>
      <w:r>
        <w:rPr>
          <w:i/>
        </w:rPr>
        <w:t>Forest Laboratories, Inc. et al v. Amneal Pharmaceuticals LLC et al</w:t>
      </w:r>
      <w:r>
        <w:t xml:space="preserve"> </w:t>
      </w:r>
      <w:r>
        <w:t>. (D. Del.).</w:t>
      </w:r>
      <w:r>
        <w:t xml:space="preserve"> </w:t>
      </w:r>
    </w:p>
    <w:p w:rsidR="007F1EF5" w:rsidP="00C214F1" w:rsidRDefault="00C214F1">
      <w:pPr>
        <w:pStyle w:val="ListParagraph"/>
      </w:pPr>
      <w:r>
        <w:t>Counsel for Estée Lauder in a patent litigation involving polyamide-based mascara formulations. Case settled after client obtained favorable claim construction ruling. </w:t>
      </w:r>
      <w:r>
        <w:t xml:space="preserve"> </w:t>
      </w:r>
      <w:r>
        <w:rPr>
          <w:i/>
        </w:rPr>
        <w:t>L’Oreal SA et al. v. Estée Lauder Companies Inc. et al.</w:t>
      </w:r>
      <w:r>
        <w:t xml:space="preserve"> </w:t>
      </w:r>
      <w:r>
        <w:t> (D.N.J.).</w:t>
      </w:r>
      <w:r>
        <w:t xml:space="preserve"> </w:t>
      </w:r>
    </w:p>
    <w:p w:rsidR="007F1EF5" w:rsidP="00C214F1" w:rsidRDefault="00C214F1">
      <w:pPr>
        <w:pStyle w:val="ListParagraph"/>
      </w:pPr>
      <w:r>
        <w:t>Counsel for Gillette in patent litigations involving blade cartridges and shaving products including a successful Federal Circuit appeal. </w:t>
      </w:r>
      <w:r>
        <w:t xml:space="preserve"> </w:t>
      </w:r>
      <w:r>
        <w:rPr>
          <w:i/>
        </w:rPr>
        <w:t>Gillette Co. v. Energizer Holdings, Inc</w:t>
      </w:r>
      <w:r>
        <w:t xml:space="preserve"> </w:t>
      </w:r>
      <w:r>
        <w:t>. (D. Mass.).</w:t>
      </w:r>
      <w:r>
        <w:t xml:space="preserve"> </w:t>
      </w:r>
    </w:p>
    <w:p w:rsidR="007F1EF5" w:rsidP="00C214F1" w:rsidRDefault="00C214F1">
      <w:pPr>
        <w:pStyle w:val="Heading2"/>
      </w:pPr>
      <w:r w:rsidRPr="009328C8">
        <w:t>BAR ADMISSIONS</w:t>
      </w:r>
    </w:p>
    <w:p w:rsidR="007F1EF5" w:rsidP="00C214F1" w:rsidRDefault="00C214F1">
      <w:pPr>
        <w:pStyle w:val="ListParagraph"/>
      </w:pPr>
      <w:r>
        <w:t>State of New York</w:t>
      </w:r>
      <w:r>
        <w:t xml:space="preserve"> </w:t>
      </w:r>
    </w:p>
    <w:p w:rsidR="007F1EF5" w:rsidP="00C214F1" w:rsidRDefault="00C214F1">
      <w:pPr>
        <w:pStyle w:val="ListParagraph"/>
      </w:pPr>
      <w:r>
        <w:t>State of New Jersey</w:t>
      </w:r>
      <w:r>
        <w:t xml:space="preserve"> </w:t>
      </w:r>
    </w:p>
    <w:p w:rsidR="007F1EF5" w:rsidP="00C214F1" w:rsidRDefault="00C214F1">
      <w:pPr>
        <w:pStyle w:val="ListParagraph"/>
      </w:pPr>
      <w:r>
        <w:t>United States Court of Appeals for the Federal Circuit</w:t>
      </w:r>
      <w:r>
        <w:t xml:space="preserve"> </w:t>
      </w:r>
    </w:p>
    <w:p w:rsidR="007F1EF5" w:rsidP="00C214F1" w:rsidRDefault="00C214F1">
      <w:pPr>
        <w:pStyle w:val="ListParagraph"/>
      </w:pPr>
      <w:r>
        <w:t>United States District Courts for the District of New Jersey, Southern District of New York and Eastern District of New York</w:t>
      </w:r>
      <w:r>
        <w:t xml:space="preserve"> </w:t>
      </w:r>
    </w:p>
    <w:p w:rsidR="007F1EF5" w:rsidP="00C214F1" w:rsidRDefault="00C214F1">
      <w:pPr>
        <w:pStyle w:val="ListParagraph"/>
      </w:pPr>
      <w:r>
        <w:t>United States Patent and Trademark Office</w:t>
      </w:r>
      <w:r>
        <w:t xml:space="preserve"> </w:t>
      </w:r>
    </w:p>
    <w:p w:rsidR="007F1EF5" w:rsidP="00C214F1" w:rsidRDefault="00C214F1">
      <w:pPr>
        <w:pStyle w:val="Heading2"/>
      </w:pPr>
      <w:r w:rsidRPr="009328C8">
        <w:t>EDUCATION</w:t>
      </w:r>
    </w:p>
    <w:p w:rsidR="007F1EF5" w:rsidP="00C214F1" w:rsidRDefault="00C214F1">
      <w:pPr>
        <w:pStyle w:val="ListParagraph"/>
      </w:pPr>
      <w:r>
        <w:t>Columbia University School of Law, J.D., 2002</w:t>
      </w:r>
      <w:r>
        <w:t xml:space="preserve"> </w:t>
      </w:r>
    </w:p>
    <w:p w:rsidR="007F1EF5" w:rsidP="00C214F1" w:rsidRDefault="00C214F1">
      <w:pPr>
        <w:ind w:left="705"/>
      </w:pPr>
      <w:r>
        <w:t>Executive Articles Editor, Columbia Science and Technology Law Review</w:t>
      </w:r>
      <w:r>
        <w:t xml:space="preserve"> </w:t>
      </w:r>
    </w:p>
    <w:p w:rsidR="007F1EF5" w:rsidP="00C214F1" w:rsidRDefault="00C214F1">
      <w:pPr>
        <w:pStyle w:val="ListParagraph"/>
      </w:pPr>
      <w:r>
        <w:t>Postdoctoral Fellow, Columbia Presbyterian Medical Center, College of Physicians and Surgeons, 1996-1999</w:t>
      </w:r>
      <w:r>
        <w:t xml:space="preserve"> </w:t>
      </w:r>
    </w:p>
    <w:p w:rsidR="007F1EF5" w:rsidP="00C214F1" w:rsidRDefault="00C214F1">
      <w:pPr>
        <w:pStyle w:val="ListParagraph"/>
      </w:pPr>
      <w:r>
        <w:t>Michigan State University, Ph.D., Biochemistry, 1996</w:t>
      </w:r>
      <w:r>
        <w:t xml:space="preserve"> </w:t>
      </w:r>
    </w:p>
    <w:p w:rsidR="007F1EF5" w:rsidP="00C214F1" w:rsidRDefault="00C214F1">
      <w:pPr>
        <w:pStyle w:val="ListParagraph"/>
      </w:pPr>
      <w:r>
        <w:t>Panjab University, M.S., with honors, Biochemistry, 1990</w:t>
      </w:r>
      <w:r>
        <w:t xml:space="preserve"> </w:t>
      </w:r>
    </w:p>
    <w:p w:rsidR="007F1EF5" w:rsidP="00C214F1" w:rsidRDefault="00C214F1">
      <w:pPr>
        <w:pStyle w:val="ListParagraph"/>
      </w:pPr>
      <w:r>
        <w:t>Panjab University, B.S., with honors, Biochemistry, 1989</w:t>
      </w:r>
      <w:r>
        <w:t xml:space="preserve"> </w:t>
      </w:r>
    </w:p>
    <w:p w:rsidR="007F1EF5" w:rsidP="00C214F1" w:rsidRDefault="00C214F1">
      <w:pPr>
        <w:pStyle w:val="Heading2"/>
      </w:pPr>
      <w:r w:rsidRPr="009328C8">
        <w:t>MEMBERSHIPS &amp; AFFILIATIONS</w:t>
      </w:r>
    </w:p>
    <w:p w:rsidR="007F1EF5" w:rsidP="00C214F1" w:rsidRDefault="00C214F1">
      <w:pPr>
        <w:pStyle w:val="ListParagraph"/>
      </w:pPr>
      <w:r>
        <w:t>American Bar Association, Member</w:t>
      </w:r>
      <w:r>
        <w:t xml:space="preserve"> </w:t>
      </w:r>
    </w:p>
    <w:p w:rsidR="007F1EF5" w:rsidP="00C214F1" w:rsidRDefault="00C214F1">
      <w:pPr>
        <w:pStyle w:val="ListParagraph"/>
      </w:pPr>
      <w:r>
        <w:t>American Intellectual Property Bar Association, Member</w:t>
      </w:r>
      <w:r>
        <w:t xml:space="preserve"> </w:t>
      </w:r>
    </w:p>
    <w:p>
      <w:r>
        <w:t/>
      </w:r>
    </w:p>
    <w:sectPr w:rsidR="00FC0ED6" w:rsidRPr="00F177A2" w:rsidSect="00A00570">
      <w:headerReference w:type="default" r:id="rId7"/>
      <w:footerReference w:type="default" r:id="rId8"/>
      <w:pgSz w:w="12240" w:h="15840"/>
      <w:pgMar w:top="1440" w:right="1440" w:bottom="1440" w:left="1440" w:header="288" w:footer="288"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CBC8FF1" w14:textId="77777777" w:rsidR="00467BBA" w:rsidRDefault="00467BBA" w:rsidP="00A00570">
      <w:pPr>
        <w:spacing w:before="0" w:after="0" w:line="240" w:lineRule="auto"/>
      </w:pPr>
      <w:r>
        <w:separator/>
      </w:r>
    </w:p>
  </w:endnote>
  <w:endnote w:type="continuationSeparator" w:id="0">
    <w:p w14:paraId="30D3F034" w14:textId="77777777" w:rsidR="00467BBA" w:rsidRDefault="00467BBA" w:rsidP="00A00570">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font>
  <w:font w:name="Georgia">
    <w:panose1 w:val="02040502050405020303"/>
    <w:charset w:val="00"/>
    <w:family w:val="roman"/>
    <w:pitch w:val="variable"/>
    <w:sig w:usb0="00000287" w:usb1="00000000" w:usb2="00000000" w:usb3="00000000" w:csb0="0000009F" w:csb1="00000000"/>
  </w:font>
  <w:font w:name="Trade Gothic LT Std Extended">
    <w:altName w:val="Calibri"/>
    <w:panose1 w:val="00000000000000000000"/>
    <w:charset w:val="4D"/>
    <w:family w:val="swiss"/>
    <w:notTrueType/>
    <w:pitch w:val="variable"/>
    <w:sig w:usb0="00000003" w:usb1="00000000" w:usb2="00000000" w:usb3="00000000" w:csb0="00000001" w:csb1="00000000"/>
  </w:font>
  <w:font w:name="Times New Roman (Headings CS)">
    <w:altName w:val="Times New Roman"/>
    <w:charset w:val="00"/>
    <w:family w:val="roman"/>
    <w:pitch w:val="default"/>
  </w:font>
  <w:font w:name="Times New Roman (Body CS)">
    <w:altName w:val="Times New Roman"/>
    <w:charset w:val="00"/>
    <w:family w:val="roman"/>
    <w:pitch w:val="default"/>
  </w:font>
  <w:font w:name="Aptos Display">
    <w:charset w:val="00"/>
    <w:family w:val="swiss"/>
    <w:pitch w:val="variable"/>
    <w:sig w:usb0="20000287" w:usb1="00000003" w:usb2="00000000" w:usb3="00000000" w:csb0="0000019F" w:csb1="00000000"/>
  </w:font>
  <w:font w:name="NeueHaasGroteskText Pro">
    <w:panose1 w:val="00000000000000000000"/>
    <w:charset w:val="4D"/>
    <w:family w:val="swiss"/>
    <w:notTrueType/>
    <w:pitch w:val="variable"/>
    <w:sig w:usb0="00000007" w:usb1="00000000" w:usb2="00000000" w:usb3="00000000" w:csb0="00000093" w:csb1="00000000"/>
  </w:font>
  <w:font w:name="NHaasGroteskTXStd-55Rg">
    <w:altName w:val="Calibri"/>
    <w:panose1 w:val="00000000000000000000"/>
    <w:charset w:val="4D"/>
    <w:family w:val="auto"/>
    <w:notTrueType/>
    <w:pitch w:val="default"/>
    <w:sig w:usb0="00000003" w:usb1="00000000" w:usb2="00000000" w:usb3="00000000" w:csb0="00000001" w:csb1="00000000"/>
  </w:font>
  <w:font w:name="NHaasGroteskTXStd-75Bd">
    <w:altName w:val="Calibri"/>
    <w:panose1 w:val="00000000000000000000"/>
    <w:charset w:val="4D"/>
    <w:family w:val="auto"/>
    <w:notTrueType/>
    <w:pitch w:val="default"/>
    <w:sig w:usb0="00000003" w:usb1="00000000" w:usb2="00000000" w:usb3="00000000" w:csb0="00000001" w:csb1="00000000"/>
  </w:font>
  <w:font w:name="NeueHaasGroteskText Std">
    <w:altName w:val="Calibri"/>
    <w:charset w:val="00"/>
    <w:family w:val="auto"/>
    <w:pitch w:val="variable"/>
    <w:sig w:usb0="00000007" w:usb1="00000000" w:usb2="00000000" w:usb3="00000000" w:csb0="00000093" w:csb1="00000000"/>
  </w:font>
  <w:font w:name="Montserrat Light">
    <w:charset w:val="00"/>
    <w:family w:val="auto"/>
    <w:pitch w:val="variable"/>
    <w:sig w:usb0="2000020F" w:usb1="00000003" w:usb2="00000000" w:usb3="00000000" w:csb0="00000197" w:csb1="00000000"/>
  </w:font>
  <w:font w:name="Montserrat Medium">
    <w:charset w:val="00"/>
    <w:family w:val="auto"/>
    <w:pitch w:val="variable"/>
    <w:sig w:usb0="2000020F" w:usb1="00000003" w:usb2="00000000" w:usb3="00000000" w:csb0="00000197" w:csb1="00000000"/>
  </w:font>
  <w:font w:name="Calibri (Body)">
    <w:altName w:val="Calibri"/>
    <w:panose1 w:val="00000000000000000000"/>
    <w:charset w:val="00"/>
    <w:family w:val="roman"/>
    <w:notTrueType/>
    <w:pitch w:val="default"/>
  </w:font>
  <w:font w:name="Montserrat">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rPr>
        <w:rStyle w:val="PageNumber"/>
        <w:rFonts w:ascii="Montserrat" w:hAnsi="Montserrat"/>
        <w:color w:val="7F7F7F" w:themeColor="text1" w:themeTint="80"/>
        <w:sz w:val="16"/>
        <w:szCs w:val="16"/>
      </w:rPr>
      <w:id w:val="-960956727"/>
      <w:docPartObj>
        <w:docPartGallery w:val="Page Numbers (Bottom of Page)"/>
        <w:docPartUnique/>
      </w:docPartObj>
    </w:sdtPr>
    <w:sdtContent>
      <w:p w14:paraId="54FA50CE" w14:textId="2D02A88B" w:rsidR="00A00570" w:rsidRPr="00A00570" w:rsidRDefault="00A00570" w:rsidP="00A00570">
        <w:pPr>
          <w:pStyle w:val="Footer"/>
          <w:jc w:val="right"/>
        </w:pPr>
        <w:r>
          <w:rPr>
            <w:noProof/>
          </w:rPr>
          <w:drawing>
            <wp:inline distT="0" distB="0" distL="0" distR="0" wp14:anchorId="0A768BF5" wp14:editId="00E3F818">
              <wp:extent cx="5939155" cy="316230"/>
              <wp:effectExtent l="0" t="0" r="4445" b="127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pic:cNvPicPr/>
                    </pic:nvPicPr>
                    <pic:blipFill>
                      <a:blip r:embed="rId1">
                        <a:extLst>
                          <a:ext uri="{28A0092B-C50C-407E-A947-70E740481C1C}">
                            <a14:useLocalDpi xmlns:a14="http://schemas.microsoft.com/office/drawing/2010/main" val="0"/>
                          </a:ext>
                        </a:extLst>
                      </a:blip>
                      <a:stretch>
                        <a:fillRect/>
                      </a:stretch>
                    </pic:blipFill>
                    <pic:spPr>
                      <a:xfrm>
                        <a:off x="0" y="0"/>
                        <a:ext cx="5957342" cy="317198"/>
                      </a:xfrm>
                      <a:prstGeom prst="rect">
                        <a:avLst/>
                      </a:prstGeom>
                    </pic:spPr>
                  </pic:pic>
                </a:graphicData>
              </a:graphic>
            </wp:inline>
          </w:drawing>
        </w:r>
        <w:r w:rsidRPr="00512713">
          <w:rPr>
            <w:rStyle w:val="PageNumber"/>
            <w:rFonts w:ascii="Montserrat" w:hAnsi="Montserrat"/>
            <w:color w:val="7F7F7F" w:themeColor="text1" w:themeTint="80"/>
            <w:sz w:val="16"/>
            <w:szCs w:val="16"/>
          </w:rPr>
          <w:fldChar w:fldCharType="begin"/>
        </w:r>
        <w:r w:rsidRPr="00512713">
          <w:rPr>
            <w:rStyle w:val="PageNumber"/>
            <w:rFonts w:ascii="Montserrat" w:hAnsi="Montserrat"/>
            <w:color w:val="7F7F7F" w:themeColor="text1" w:themeTint="80"/>
            <w:sz w:val="16"/>
            <w:szCs w:val="16"/>
          </w:rPr>
          <w:instrText xml:space="preserve"> PAGE </w:instrText>
        </w:r>
        <w:r w:rsidRPr="00512713">
          <w:rPr>
            <w:rStyle w:val="PageNumber"/>
            <w:rFonts w:ascii="Montserrat" w:hAnsi="Montserrat"/>
            <w:color w:val="7F7F7F" w:themeColor="text1" w:themeTint="80"/>
            <w:sz w:val="16"/>
            <w:szCs w:val="16"/>
          </w:rPr>
          <w:fldChar w:fldCharType="separate"/>
        </w:r>
        <w:r>
          <w:rPr>
            <w:rStyle w:val="PageNumber"/>
            <w:rFonts w:ascii="Montserrat" w:hAnsi="Montserrat"/>
            <w:color w:val="7F7F7F" w:themeColor="text1" w:themeTint="80"/>
            <w:sz w:val="16"/>
            <w:szCs w:val="16"/>
          </w:rPr>
          <w:t>0</w:t>
        </w:r>
        <w:r w:rsidRPr="00512713">
          <w:rPr>
            <w:rStyle w:val="PageNumber"/>
            <w:rFonts w:ascii="Montserrat" w:hAnsi="Montserrat"/>
            <w:color w:val="7F7F7F" w:themeColor="text1" w:themeTint="80"/>
            <w:sz w:val="16"/>
            <w:szCs w:val="16"/>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531222F3" w14:textId="77777777" w:rsidR="00467BBA" w:rsidRDefault="00467BBA" w:rsidP="00A00570">
      <w:pPr>
        <w:spacing w:before="0" w:after="0" w:line="240" w:lineRule="auto"/>
      </w:pPr>
      <w:r>
        <w:separator/>
      </w:r>
    </w:p>
  </w:footnote>
  <w:footnote w:type="continuationSeparator" w:id="0">
    <w:p w14:paraId="45630236" w14:textId="77777777" w:rsidR="00467BBA" w:rsidRDefault="00467BBA" w:rsidP="00A00570">
      <w:pPr>
        <w:spacing w:before="0"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DC8B357" w14:textId="25691551" w:rsidR="00A00570" w:rsidRPr="00A00570" w:rsidRDefault="00A00570" w:rsidP="00A00570">
    <w:pPr>
      <w:pStyle w:val="Header"/>
    </w:pPr>
    <w:r>
      <w:rPr>
        <w:noProof/>
      </w:rPr>
      <w:drawing>
        <wp:inline distT="0" distB="0" distL="0" distR="0" wp14:anchorId="3ECF83A8" wp14:editId="39FAA930">
          <wp:extent cx="5939327" cy="581285"/>
          <wp:effectExtent l="0" t="0" r="0" b="3175"/>
          <wp:docPr id="10" name="Pictur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
                    <a:extLst>
                      <a:ext uri="{28A0092B-C50C-407E-A947-70E740481C1C}">
                        <a14:useLocalDpi xmlns:a14="http://schemas.microsoft.com/office/drawing/2010/main" val="0"/>
                      </a:ext>
                    </a:extLst>
                  </a:blip>
                  <a:stretch>
                    <a:fillRect/>
                  </a:stretch>
                </pic:blipFill>
                <pic:spPr>
                  <a:xfrm>
                    <a:off x="0" y="0"/>
                    <a:ext cx="6577189" cy="643713"/>
                  </a:xfrm>
                  <a:prstGeom prst="rect">
                    <a:avLst/>
                  </a:prstGeom>
                </pic:spPr>
              </pic:pic>
            </a:graphicData>
          </a:graphic>
        </wp:inline>
      </w:drawing>
    </w:r>
    <w:r>
      <w:softHyphen/>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D680805"/>
    <w:multiLevelType w:val="multilevel"/>
    <w:tmpl w:val="D6446A80"/>
    <w:styleLink w:val="CurrentList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1" w15:restartNumberingAfterBreak="0">
    <w:nsid w:val="7E9A1D00"/>
    <w:multiLevelType w:val="hybridMultilevel"/>
    <w:tmpl w:val="5C3CD966"/>
    <w:lvl w:ilvl="0" w:tplc="BC8E081E">
      <w:start w:val="1"/>
      <w:numFmt w:val="bullet"/>
      <w:pStyle w:val="ListParagraph"/>
      <w:lvlText w:val=""/>
      <w:lvlJc w:val="left"/>
      <w:pPr>
        <w:ind w:left="288" w:hanging="288"/>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02230266">
    <w:abstractNumId w:val="0"/>
  </w:num>
  <w:num w:numId="2" w16cid:durableId="758259006">
    <w:abstractNumId w:val="1"/>
  </w:num>
  <w:num w:numId="3" w16cid:durableId="256141098">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4115A"/>
    <w:rsid w:val="0004272B"/>
    <w:rsid w:val="00093AF1"/>
    <w:rsid w:val="00095BB5"/>
    <w:rsid w:val="000B345A"/>
    <w:rsid w:val="00112C19"/>
    <w:rsid w:val="00133875"/>
    <w:rsid w:val="001A5F62"/>
    <w:rsid w:val="001C2973"/>
    <w:rsid w:val="001F6323"/>
    <w:rsid w:val="001F758B"/>
    <w:rsid w:val="00211CDD"/>
    <w:rsid w:val="002213C0"/>
    <w:rsid w:val="00243CAE"/>
    <w:rsid w:val="00274766"/>
    <w:rsid w:val="002A7A88"/>
    <w:rsid w:val="002C21CE"/>
    <w:rsid w:val="002F23FD"/>
    <w:rsid w:val="002F420F"/>
    <w:rsid w:val="00342C37"/>
    <w:rsid w:val="003702AC"/>
    <w:rsid w:val="0039743E"/>
    <w:rsid w:val="003A4BEA"/>
    <w:rsid w:val="003B7D03"/>
    <w:rsid w:val="003D542C"/>
    <w:rsid w:val="003E7632"/>
    <w:rsid w:val="0040559F"/>
    <w:rsid w:val="00444FE2"/>
    <w:rsid w:val="00467BBA"/>
    <w:rsid w:val="00475A1E"/>
    <w:rsid w:val="0049417A"/>
    <w:rsid w:val="004A3317"/>
    <w:rsid w:val="004F31AE"/>
    <w:rsid w:val="005031BA"/>
    <w:rsid w:val="005C18D3"/>
    <w:rsid w:val="005E1357"/>
    <w:rsid w:val="00621038"/>
    <w:rsid w:val="00637653"/>
    <w:rsid w:val="006553FF"/>
    <w:rsid w:val="006C5BA6"/>
    <w:rsid w:val="00704438"/>
    <w:rsid w:val="00781D57"/>
    <w:rsid w:val="00782D8B"/>
    <w:rsid w:val="007979A7"/>
    <w:rsid w:val="00797C0A"/>
    <w:rsid w:val="007D1EF8"/>
    <w:rsid w:val="007D3340"/>
    <w:rsid w:val="007D4329"/>
    <w:rsid w:val="00810D19"/>
    <w:rsid w:val="00841794"/>
    <w:rsid w:val="0087542C"/>
    <w:rsid w:val="0088641A"/>
    <w:rsid w:val="008B4C7A"/>
    <w:rsid w:val="008B6E5A"/>
    <w:rsid w:val="00905037"/>
    <w:rsid w:val="00913D18"/>
    <w:rsid w:val="00982584"/>
    <w:rsid w:val="00985E05"/>
    <w:rsid w:val="009A7A13"/>
    <w:rsid w:val="00A00570"/>
    <w:rsid w:val="00A2363A"/>
    <w:rsid w:val="00A602F1"/>
    <w:rsid w:val="00A72779"/>
    <w:rsid w:val="00A82D14"/>
    <w:rsid w:val="00AA6109"/>
    <w:rsid w:val="00B0465E"/>
    <w:rsid w:val="00B150A8"/>
    <w:rsid w:val="00B750C5"/>
    <w:rsid w:val="00BF330A"/>
    <w:rsid w:val="00C22AB9"/>
    <w:rsid w:val="00C31D61"/>
    <w:rsid w:val="00C4115A"/>
    <w:rsid w:val="00C507C6"/>
    <w:rsid w:val="00C661E5"/>
    <w:rsid w:val="00C824E4"/>
    <w:rsid w:val="00CB50A7"/>
    <w:rsid w:val="00CE6A9F"/>
    <w:rsid w:val="00D6515C"/>
    <w:rsid w:val="00D93D2F"/>
    <w:rsid w:val="00D94679"/>
    <w:rsid w:val="00DC72BF"/>
    <w:rsid w:val="00DF30DE"/>
    <w:rsid w:val="00E753AF"/>
    <w:rsid w:val="00E81CF7"/>
    <w:rsid w:val="00EB0470"/>
    <w:rsid w:val="00EB590F"/>
    <w:rsid w:val="00F02DAF"/>
    <w:rsid w:val="00F177A2"/>
    <w:rsid w:val="00FC0ED6"/>
    <w:rsid w:val="00FC22F1"/>
    <w:rsid w:val="00FC4912"/>
    <w:rsid w:val="00FF3E9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A593943"/>
  <w15:chartTrackingRefBased/>
  <w15:docId w15:val="{D82A6568-C347-4E15-99BC-65B36F4A60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3A4BEA"/>
    <w:pPr>
      <w:spacing w:before="80" w:after="220" w:line="280" w:lineRule="atLeast"/>
    </w:pPr>
    <w:rPr>
      <w:rFonts w:ascii="Georgia" w:hAnsi="Georgia" w:cs="Times New Roman"/>
      <w:color w:val="000000"/>
      <w:sz w:val="20"/>
      <w:szCs w:val="22"/>
    </w:rPr>
  </w:style>
  <w:style w:type="paragraph" w:styleId="Heading1">
    <w:name w:val="heading 1"/>
    <w:basedOn w:val="Normal"/>
    <w:next w:val="Normal"/>
    <w:link w:val="Heading1Char"/>
    <w:uiPriority w:val="9"/>
    <w:qFormat/>
    <w:rsid w:val="003A4BEA"/>
    <w:pPr>
      <w:keepNext/>
      <w:keepLines/>
      <w:spacing w:before="360" w:after="120" w:line="240" w:lineRule="auto"/>
      <w:outlineLvl w:val="0"/>
    </w:pPr>
    <w:rPr>
      <w:rFonts w:ascii="Trade Gothic LT Std Extended" w:eastAsiaTheme="majorEastAsia" w:hAnsi="Trade Gothic LT Std Extended" w:cs="Times New Roman (Headings CS)"/>
      <w:caps/>
      <w:color w:val="337CB4"/>
      <w:sz w:val="31"/>
      <w:szCs w:val="32"/>
    </w:rPr>
  </w:style>
  <w:style w:type="paragraph" w:styleId="Heading2">
    <w:name w:val="heading 2"/>
    <w:basedOn w:val="Normal"/>
    <w:next w:val="Normal"/>
    <w:link w:val="Heading2Char"/>
    <w:uiPriority w:val="9"/>
    <w:unhideWhenUsed/>
    <w:qFormat/>
    <w:rsid w:val="00913D18"/>
    <w:pPr>
      <w:spacing w:before="320" w:after="0"/>
      <w:outlineLvl w:val="1"/>
    </w:pPr>
    <w:rPr>
      <w:rFonts w:ascii="Trade Gothic LT Std Extended" w:hAnsi="Trade Gothic LT Std Extended" w:cs="Times New Roman (Body CS)"/>
      <w:bCs/>
      <w:caps/>
      <w:color w:val="DD5016"/>
      <w:sz w:val="24"/>
    </w:rPr>
  </w:style>
  <w:style w:type="paragraph" w:styleId="Heading3">
    <w:name w:val="heading 3"/>
    <w:basedOn w:val="Heading1"/>
    <w:next w:val="Normal"/>
    <w:link w:val="Heading3Char"/>
    <w:uiPriority w:val="9"/>
    <w:unhideWhenUsed/>
    <w:qFormat/>
    <w:rsid w:val="003A4BEA"/>
    <w:pPr>
      <w:outlineLvl w:val="2"/>
    </w:pPr>
    <w:rPr>
      <w:bCs/>
      <w:color w:val="DD5016"/>
      <w:sz w:val="22"/>
      <w:szCs w:val="22"/>
    </w:rPr>
  </w:style>
  <w:style w:type="paragraph" w:styleId="Heading4">
    <w:name w:val="heading 4"/>
    <w:basedOn w:val="Heading1"/>
    <w:next w:val="Normal"/>
    <w:link w:val="Heading4Char"/>
    <w:uiPriority w:val="9"/>
    <w:unhideWhenUsed/>
    <w:qFormat/>
    <w:rsid w:val="003A4BEA"/>
    <w:pPr>
      <w:spacing w:before="320"/>
      <w:outlineLvl w:val="3"/>
    </w:pPr>
    <w:rPr>
      <w:bCs/>
      <w:color w:val="DD5016"/>
      <w:sz w:val="20"/>
      <w:szCs w:val="20"/>
    </w:rPr>
  </w:style>
  <w:style w:type="paragraph" w:styleId="Heading5">
    <w:name w:val="heading 5"/>
    <w:basedOn w:val="Heading1"/>
    <w:next w:val="Normal"/>
    <w:link w:val="Heading5Char"/>
    <w:uiPriority w:val="9"/>
    <w:unhideWhenUsed/>
    <w:qFormat/>
    <w:rsid w:val="003A4BEA"/>
    <w:pPr>
      <w:outlineLvl w:val="4"/>
    </w:pPr>
    <w:rPr>
      <w:color w:val="DD5016"/>
      <w:sz w:val="20"/>
      <w:szCs w:val="20"/>
    </w:rPr>
  </w:style>
  <w:style w:type="paragraph" w:styleId="Heading6">
    <w:name w:val="heading 6"/>
    <w:basedOn w:val="Heading5"/>
    <w:next w:val="Normal"/>
    <w:link w:val="Heading6Char"/>
    <w:uiPriority w:val="9"/>
    <w:unhideWhenUsed/>
    <w:qFormat/>
    <w:rsid w:val="003A4BEA"/>
    <w:pPr>
      <w:outlineLvl w:val="5"/>
    </w:pPr>
    <w:rPr>
      <w:b/>
      <w:bCs/>
      <w:sz w:val="16"/>
      <w:szCs w:val="16"/>
    </w:rPr>
  </w:style>
  <w:style w:type="paragraph" w:styleId="Heading7">
    <w:name w:val="heading 7"/>
    <w:basedOn w:val="Normal"/>
    <w:next w:val="Normal"/>
    <w:link w:val="Heading7Char"/>
    <w:uiPriority w:val="9"/>
    <w:semiHidden/>
    <w:unhideWhenUsed/>
    <w:qFormat/>
    <w:rsid w:val="00C4115A"/>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C4115A"/>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C4115A"/>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3A4BEA"/>
    <w:rPr>
      <w:rFonts w:ascii="Trade Gothic LT Std Extended" w:eastAsiaTheme="majorEastAsia" w:hAnsi="Trade Gothic LT Std Extended" w:cs="Times New Roman (Headings CS)"/>
      <w:caps/>
      <w:color w:val="337CB4"/>
      <w:sz w:val="31"/>
      <w:szCs w:val="32"/>
    </w:rPr>
  </w:style>
  <w:style w:type="character" w:customStyle="1" w:styleId="Heading2Char">
    <w:name w:val="Heading 2 Char"/>
    <w:basedOn w:val="DefaultParagraphFont"/>
    <w:link w:val="Heading2"/>
    <w:uiPriority w:val="9"/>
    <w:rsid w:val="00913D18"/>
    <w:rPr>
      <w:rFonts w:ascii="Trade Gothic LT Std Extended" w:hAnsi="Trade Gothic LT Std Extended" w:cs="Times New Roman (Body CS)"/>
      <w:bCs/>
      <w:caps/>
      <w:color w:val="DD5016"/>
      <w:szCs w:val="22"/>
    </w:rPr>
  </w:style>
  <w:style w:type="character" w:customStyle="1" w:styleId="Heading3Char">
    <w:name w:val="Heading 3 Char"/>
    <w:basedOn w:val="DefaultParagraphFont"/>
    <w:link w:val="Heading3"/>
    <w:uiPriority w:val="9"/>
    <w:rsid w:val="003A4BEA"/>
    <w:rPr>
      <w:rFonts w:ascii="Trade Gothic LT Std Extended" w:eastAsiaTheme="majorEastAsia" w:hAnsi="Trade Gothic LT Std Extended" w:cs="Times New Roman (Headings CS)"/>
      <w:bCs/>
      <w:caps/>
      <w:color w:val="DD5016"/>
      <w:sz w:val="22"/>
      <w:szCs w:val="22"/>
    </w:rPr>
  </w:style>
  <w:style w:type="character" w:customStyle="1" w:styleId="Heading4Char">
    <w:name w:val="Heading 4 Char"/>
    <w:basedOn w:val="DefaultParagraphFont"/>
    <w:link w:val="Heading4"/>
    <w:uiPriority w:val="9"/>
    <w:rsid w:val="003A4BEA"/>
    <w:rPr>
      <w:rFonts w:ascii="Trade Gothic LT Std Extended" w:eastAsiaTheme="majorEastAsia" w:hAnsi="Trade Gothic LT Std Extended" w:cs="Times New Roman (Headings CS)"/>
      <w:bCs/>
      <w:caps/>
      <w:color w:val="DD5016"/>
      <w:sz w:val="20"/>
      <w:szCs w:val="20"/>
    </w:rPr>
  </w:style>
  <w:style w:type="character" w:customStyle="1" w:styleId="Heading5Char">
    <w:name w:val="Heading 5 Char"/>
    <w:basedOn w:val="DefaultParagraphFont"/>
    <w:link w:val="Heading5"/>
    <w:uiPriority w:val="9"/>
    <w:rsid w:val="003A4BEA"/>
    <w:rPr>
      <w:rFonts w:ascii="Trade Gothic LT Std Extended" w:eastAsiaTheme="majorEastAsia" w:hAnsi="Trade Gothic LT Std Extended" w:cs="Times New Roman (Headings CS)"/>
      <w:caps/>
      <w:color w:val="DD5016"/>
      <w:sz w:val="20"/>
      <w:szCs w:val="20"/>
    </w:rPr>
  </w:style>
  <w:style w:type="character" w:customStyle="1" w:styleId="Heading6Char">
    <w:name w:val="Heading 6 Char"/>
    <w:basedOn w:val="DefaultParagraphFont"/>
    <w:link w:val="Heading6"/>
    <w:uiPriority w:val="9"/>
    <w:rsid w:val="003A4BEA"/>
    <w:rPr>
      <w:rFonts w:ascii="Trade Gothic LT Std Extended" w:eastAsiaTheme="majorEastAsia" w:hAnsi="Trade Gothic LT Std Extended" w:cs="Times New Roman (Headings CS)"/>
      <w:b/>
      <w:bCs/>
      <w:caps/>
      <w:color w:val="DD5016"/>
      <w:sz w:val="16"/>
      <w:szCs w:val="16"/>
    </w:rPr>
  </w:style>
  <w:style w:type="character" w:customStyle="1" w:styleId="Heading7Char">
    <w:name w:val="Heading 7 Char"/>
    <w:basedOn w:val="DefaultParagraphFont"/>
    <w:link w:val="Heading7"/>
    <w:uiPriority w:val="9"/>
    <w:semiHidden/>
    <w:rsid w:val="00C4115A"/>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C4115A"/>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C4115A"/>
    <w:rPr>
      <w:rFonts w:eastAsiaTheme="majorEastAsia" w:cstheme="majorBidi"/>
      <w:color w:val="272727" w:themeColor="text1" w:themeTint="D8"/>
    </w:rPr>
  </w:style>
  <w:style w:type="paragraph" w:styleId="Title">
    <w:name w:val="Title"/>
    <w:basedOn w:val="Normal"/>
    <w:next w:val="Normal"/>
    <w:link w:val="TitleChar"/>
    <w:uiPriority w:val="10"/>
    <w:qFormat/>
    <w:rsid w:val="00C4115A"/>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C4115A"/>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C4115A"/>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C4115A"/>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C4115A"/>
    <w:pPr>
      <w:spacing w:before="160"/>
      <w:jc w:val="center"/>
    </w:pPr>
    <w:rPr>
      <w:i/>
      <w:iCs/>
      <w:color w:val="404040" w:themeColor="text1" w:themeTint="BF"/>
    </w:rPr>
  </w:style>
  <w:style w:type="character" w:customStyle="1" w:styleId="QuoteChar">
    <w:name w:val="Quote Char"/>
    <w:basedOn w:val="DefaultParagraphFont"/>
    <w:link w:val="Quote"/>
    <w:uiPriority w:val="29"/>
    <w:rsid w:val="00C4115A"/>
    <w:rPr>
      <w:i/>
      <w:iCs/>
      <w:color w:val="404040" w:themeColor="text1" w:themeTint="BF"/>
    </w:rPr>
  </w:style>
  <w:style w:type="paragraph" w:styleId="ListParagraph">
    <w:name w:val="List Paragraph"/>
    <w:basedOn w:val="Normal"/>
    <w:uiPriority w:val="34"/>
    <w:qFormat/>
    <w:rsid w:val="003A4BEA"/>
    <w:pPr>
      <w:numPr>
        <w:numId w:val="3"/>
      </w:numPr>
      <w:spacing w:before="0" w:after="120"/>
    </w:pPr>
  </w:style>
  <w:style w:type="character" w:styleId="IntenseEmphasis">
    <w:name w:val="Intense Emphasis"/>
    <w:basedOn w:val="DefaultParagraphFont"/>
    <w:uiPriority w:val="21"/>
    <w:qFormat/>
    <w:rsid w:val="00C4115A"/>
    <w:rPr>
      <w:i/>
      <w:iCs/>
      <w:color w:val="0F4761" w:themeColor="accent1" w:themeShade="BF"/>
    </w:rPr>
  </w:style>
  <w:style w:type="paragraph" w:styleId="IntenseQuote">
    <w:name w:val="Intense Quote"/>
    <w:basedOn w:val="Normal"/>
    <w:next w:val="Normal"/>
    <w:link w:val="IntenseQuoteChar"/>
    <w:uiPriority w:val="30"/>
    <w:qFormat/>
    <w:rsid w:val="00C4115A"/>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C4115A"/>
    <w:rPr>
      <w:i/>
      <w:iCs/>
      <w:color w:val="0F4761" w:themeColor="accent1" w:themeShade="BF"/>
    </w:rPr>
  </w:style>
  <w:style w:type="character" w:styleId="IntenseReference">
    <w:name w:val="Intense Reference"/>
    <w:basedOn w:val="DefaultParagraphFont"/>
    <w:uiPriority w:val="32"/>
    <w:qFormat/>
    <w:rsid w:val="00C4115A"/>
    <w:rPr>
      <w:b/>
      <w:bCs/>
      <w:smallCaps/>
      <w:color w:val="0F4761" w:themeColor="accent1" w:themeShade="BF"/>
      <w:spacing w:val="5"/>
    </w:rPr>
  </w:style>
  <w:style w:type="paragraph" w:customStyle="1" w:styleId="Coverwithline">
    <w:name w:val="Cover with line"/>
    <w:rsid w:val="003A4BEA"/>
    <w:pPr>
      <w:widowControl w:val="0"/>
      <w:autoSpaceDE w:val="0"/>
      <w:autoSpaceDN w:val="0"/>
      <w:adjustRightInd w:val="0"/>
      <w:spacing w:after="0" w:line="264" w:lineRule="auto"/>
    </w:pPr>
    <w:rPr>
      <w:rFonts w:ascii="NeueHaasGroteskText Pro" w:eastAsiaTheme="minorEastAsia" w:hAnsi="NeueHaasGroteskText Pro" w:cs="NHaasGroteskTXStd-55Rg"/>
      <w:color w:val="000000"/>
      <w:kern w:val="0"/>
      <w:sz w:val="26"/>
      <w:lang w:eastAsia="ja-JP"/>
      <w14:ligatures w14:val="none"/>
    </w:rPr>
  </w:style>
  <w:style w:type="paragraph" w:customStyle="1" w:styleId="1ptrule">
    <w:name w:val="1pt rule"/>
    <w:basedOn w:val="Coverwithline"/>
    <w:rsid w:val="003A4BEA"/>
    <w:pPr>
      <w:pBdr>
        <w:bottom w:val="single" w:sz="2" w:space="1" w:color="auto"/>
      </w:pBdr>
      <w:spacing w:after="200"/>
    </w:pPr>
    <w:rPr>
      <w:sz w:val="12"/>
    </w:rPr>
  </w:style>
  <w:style w:type="paragraph" w:customStyle="1" w:styleId="Coverbold">
    <w:name w:val="Cover bold"/>
    <w:rsid w:val="003A4BEA"/>
    <w:pPr>
      <w:widowControl w:val="0"/>
      <w:autoSpaceDE w:val="0"/>
      <w:autoSpaceDN w:val="0"/>
      <w:adjustRightInd w:val="0"/>
      <w:spacing w:after="0" w:line="264" w:lineRule="auto"/>
    </w:pPr>
    <w:rPr>
      <w:rFonts w:ascii="NeueHaasGroteskText Pro" w:eastAsiaTheme="minorEastAsia" w:hAnsi="NeueHaasGroteskText Pro" w:cs="NHaasGroteskTXStd-75Bd"/>
      <w:b/>
      <w:color w:val="000000"/>
      <w:spacing w:val="-5"/>
      <w:kern w:val="0"/>
      <w:sz w:val="26"/>
      <w:szCs w:val="28"/>
      <w:lang w:eastAsia="ja-JP"/>
      <w14:ligatures w14:val="none"/>
    </w:rPr>
  </w:style>
  <w:style w:type="paragraph" w:customStyle="1" w:styleId="Covertext">
    <w:name w:val="Cover text"/>
    <w:rsid w:val="003A4BEA"/>
    <w:pPr>
      <w:spacing w:after="0" w:line="264" w:lineRule="auto"/>
    </w:pPr>
    <w:rPr>
      <w:rFonts w:ascii="NeueHaasGroteskText Std" w:eastAsiaTheme="minorEastAsia" w:hAnsi="NeueHaasGroteskText Std" w:cs="NHaasGroteskTXStd-55Rg"/>
      <w:color w:val="000000"/>
      <w:kern w:val="0"/>
      <w:sz w:val="26"/>
      <w:lang w:eastAsia="ja-JP"/>
      <w14:ligatures w14:val="none"/>
    </w:rPr>
  </w:style>
  <w:style w:type="numbering" w:customStyle="1" w:styleId="CurrentList1">
    <w:name w:val="Current List1"/>
    <w:uiPriority w:val="99"/>
    <w:rsid w:val="003A4BEA"/>
    <w:pPr>
      <w:numPr>
        <w:numId w:val="1"/>
      </w:numPr>
    </w:pPr>
  </w:style>
  <w:style w:type="character" w:styleId="Emphasis">
    <w:name w:val="Emphasis"/>
    <w:basedOn w:val="DefaultParagraphFont"/>
    <w:uiPriority w:val="20"/>
    <w:qFormat/>
    <w:rsid w:val="003A4BEA"/>
    <w:rPr>
      <w:i/>
      <w:iCs/>
    </w:rPr>
  </w:style>
  <w:style w:type="character" w:styleId="FollowedHyperlink">
    <w:name w:val="FollowedHyperlink"/>
    <w:basedOn w:val="DefaultParagraphFont"/>
    <w:uiPriority w:val="99"/>
    <w:semiHidden/>
    <w:unhideWhenUsed/>
    <w:rsid w:val="003A4BEA"/>
    <w:rPr>
      <w:color w:val="96607D" w:themeColor="followedHyperlink"/>
      <w:u w:val="single"/>
    </w:rPr>
  </w:style>
  <w:style w:type="paragraph" w:styleId="Footer">
    <w:name w:val="footer"/>
    <w:basedOn w:val="Normal"/>
    <w:link w:val="FooterChar"/>
    <w:uiPriority w:val="99"/>
    <w:unhideWhenUsed/>
    <w:rsid w:val="003A4BEA"/>
    <w:pPr>
      <w:tabs>
        <w:tab w:val="center" w:pos="4680"/>
        <w:tab w:val="right" w:pos="9360"/>
      </w:tabs>
    </w:pPr>
  </w:style>
  <w:style w:type="character" w:customStyle="1" w:styleId="FooterChar">
    <w:name w:val="Footer Char"/>
    <w:basedOn w:val="DefaultParagraphFont"/>
    <w:link w:val="Footer"/>
    <w:uiPriority w:val="99"/>
    <w:rsid w:val="003A4BEA"/>
    <w:rPr>
      <w:rFonts w:ascii="Georgia" w:hAnsi="Georgia" w:cs="Times New Roman"/>
      <w:color w:val="000000"/>
      <w:sz w:val="20"/>
      <w:szCs w:val="22"/>
    </w:rPr>
  </w:style>
  <w:style w:type="paragraph" w:customStyle="1" w:styleId="H1AboveHeroImage">
    <w:name w:val="H1 Above Hero Image"/>
    <w:basedOn w:val="Heading1"/>
    <w:qFormat/>
    <w:rsid w:val="003A4BEA"/>
    <w:pPr>
      <w:spacing w:before="1200"/>
      <w:ind w:left="360"/>
    </w:pPr>
    <w:rPr>
      <w:color w:val="FFFFFF" w:themeColor="background1"/>
    </w:rPr>
  </w:style>
  <w:style w:type="paragraph" w:styleId="Header">
    <w:name w:val="header"/>
    <w:basedOn w:val="Normal"/>
    <w:link w:val="HeaderChar"/>
    <w:uiPriority w:val="99"/>
    <w:unhideWhenUsed/>
    <w:rsid w:val="003A4BEA"/>
    <w:pPr>
      <w:tabs>
        <w:tab w:val="center" w:pos="4680"/>
        <w:tab w:val="right" w:pos="9360"/>
      </w:tabs>
    </w:pPr>
  </w:style>
  <w:style w:type="character" w:customStyle="1" w:styleId="HeaderChar">
    <w:name w:val="Header Char"/>
    <w:basedOn w:val="DefaultParagraphFont"/>
    <w:link w:val="Header"/>
    <w:uiPriority w:val="99"/>
    <w:rsid w:val="003A4BEA"/>
    <w:rPr>
      <w:rFonts w:ascii="Georgia" w:hAnsi="Georgia" w:cs="Times New Roman"/>
      <w:color w:val="000000"/>
      <w:sz w:val="20"/>
      <w:szCs w:val="22"/>
    </w:rPr>
  </w:style>
  <w:style w:type="character" w:styleId="Hyperlink">
    <w:name w:val="Hyperlink"/>
    <w:basedOn w:val="DefaultParagraphFont"/>
    <w:uiPriority w:val="99"/>
    <w:unhideWhenUsed/>
    <w:rsid w:val="003A4BEA"/>
    <w:rPr>
      <w:color w:val="467886" w:themeColor="hyperlink"/>
      <w:u w:val="single"/>
    </w:rPr>
  </w:style>
  <w:style w:type="paragraph" w:styleId="NoSpacing">
    <w:name w:val="No Spacing"/>
    <w:link w:val="NoSpacingChar"/>
    <w:uiPriority w:val="1"/>
    <w:qFormat/>
    <w:rsid w:val="003A4BEA"/>
    <w:pPr>
      <w:spacing w:after="0" w:line="240" w:lineRule="auto"/>
    </w:pPr>
    <w:rPr>
      <w:rFonts w:eastAsiaTheme="minorEastAsia"/>
      <w:kern w:val="0"/>
      <w:sz w:val="22"/>
      <w:szCs w:val="22"/>
      <w:lang w:eastAsia="zh-CN"/>
      <w14:ligatures w14:val="none"/>
    </w:rPr>
  </w:style>
  <w:style w:type="character" w:customStyle="1" w:styleId="NoSpacingChar">
    <w:name w:val="No Spacing Char"/>
    <w:basedOn w:val="DefaultParagraphFont"/>
    <w:link w:val="NoSpacing"/>
    <w:uiPriority w:val="1"/>
    <w:rsid w:val="003A4BEA"/>
    <w:rPr>
      <w:rFonts w:eastAsiaTheme="minorEastAsia"/>
      <w:kern w:val="0"/>
      <w:sz w:val="22"/>
      <w:szCs w:val="22"/>
      <w:lang w:eastAsia="zh-CN"/>
      <w14:ligatures w14:val="none"/>
    </w:rPr>
  </w:style>
  <w:style w:type="paragraph" w:styleId="NormalWeb">
    <w:name w:val="Normal (Web)"/>
    <w:basedOn w:val="Normal"/>
    <w:uiPriority w:val="99"/>
    <w:semiHidden/>
    <w:unhideWhenUsed/>
    <w:rsid w:val="003A4BEA"/>
    <w:pPr>
      <w:spacing w:before="100" w:beforeAutospacing="1" w:after="100" w:afterAutospacing="1"/>
    </w:pPr>
    <w:rPr>
      <w:rFonts w:eastAsia="Times New Roman"/>
      <w:color w:val="auto"/>
      <w:kern w:val="0"/>
      <w:sz w:val="24"/>
      <w:szCs w:val="24"/>
      <w14:ligatures w14:val="none"/>
    </w:rPr>
  </w:style>
  <w:style w:type="character" w:styleId="PageNumber">
    <w:name w:val="page number"/>
    <w:basedOn w:val="DefaultParagraphFont"/>
    <w:uiPriority w:val="99"/>
    <w:semiHidden/>
    <w:unhideWhenUsed/>
    <w:rsid w:val="003A4BEA"/>
  </w:style>
  <w:style w:type="paragraph" w:customStyle="1" w:styleId="PersonName">
    <w:name w:val="Person Name"/>
    <w:basedOn w:val="Heading1"/>
    <w:qFormat/>
    <w:rsid w:val="003A4BEA"/>
    <w:pPr>
      <w:spacing w:before="600" w:after="0"/>
    </w:pPr>
    <w:rPr>
      <w:b/>
    </w:rPr>
  </w:style>
  <w:style w:type="paragraph" w:customStyle="1" w:styleId="PersonTitle">
    <w:name w:val="Person Title"/>
    <w:qFormat/>
    <w:rsid w:val="003A4BEA"/>
    <w:pPr>
      <w:spacing w:before="120" w:after="0" w:line="240" w:lineRule="auto"/>
    </w:pPr>
    <w:rPr>
      <w:rFonts w:ascii="Montserrat Light" w:eastAsiaTheme="majorEastAsia" w:hAnsi="Montserrat Light" w:cs="Times New Roman (Headings CS)"/>
      <w:i/>
      <w:iCs/>
      <w:caps/>
      <w:color w:val="337CB4"/>
      <w:sz w:val="31"/>
      <w:szCs w:val="32"/>
    </w:rPr>
  </w:style>
  <w:style w:type="paragraph" w:customStyle="1" w:styleId="PracticesTitle">
    <w:name w:val="Practices Title"/>
    <w:basedOn w:val="Heading2"/>
    <w:qFormat/>
    <w:rsid w:val="003A4BEA"/>
    <w:pPr>
      <w:framePr w:hSpace="180" w:wrap="around" w:vAnchor="text" w:hAnchor="margin" w:y="34"/>
      <w:spacing w:before="120"/>
    </w:pPr>
    <w:rPr>
      <w:rFonts w:ascii="Montserrat Medium" w:hAnsi="Montserrat Medium"/>
      <w:color w:val="337CB4"/>
    </w:rPr>
  </w:style>
  <w:style w:type="paragraph" w:customStyle="1" w:styleId="SubListParagraph">
    <w:name w:val="Sub List Paragraph"/>
    <w:basedOn w:val="ListParagraph"/>
    <w:qFormat/>
    <w:rsid w:val="003A4BEA"/>
    <w:pPr>
      <w:ind w:left="576"/>
    </w:pPr>
  </w:style>
  <w:style w:type="table" w:styleId="TableGrid">
    <w:name w:val="Table Grid"/>
    <w:basedOn w:val="TableNormal"/>
    <w:uiPriority w:val="39"/>
    <w:rsid w:val="003A4BE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OC1">
    <w:name w:val="toc 1"/>
    <w:basedOn w:val="Normal"/>
    <w:next w:val="Normal"/>
    <w:autoRedefine/>
    <w:uiPriority w:val="39"/>
    <w:unhideWhenUsed/>
    <w:rsid w:val="003A4BEA"/>
    <w:pPr>
      <w:spacing w:before="240" w:after="120"/>
    </w:pPr>
    <w:rPr>
      <w:rFonts w:ascii="Trade Gothic LT Std Extended" w:hAnsi="Trade Gothic LT Std Extended" w:cs="Calibri (Body)"/>
      <w:bCs/>
      <w:szCs w:val="20"/>
    </w:rPr>
  </w:style>
  <w:style w:type="paragraph" w:styleId="TOC2">
    <w:name w:val="toc 2"/>
    <w:basedOn w:val="Normal"/>
    <w:next w:val="Normal"/>
    <w:autoRedefine/>
    <w:uiPriority w:val="39"/>
    <w:unhideWhenUsed/>
    <w:rsid w:val="003A4BEA"/>
    <w:pPr>
      <w:spacing w:before="120"/>
      <w:ind w:left="240"/>
    </w:pPr>
    <w:rPr>
      <w:rFonts w:ascii="Trade Gothic LT Std Extended" w:hAnsi="Trade Gothic LT Std Extended" w:cstheme="minorHAnsi"/>
      <w:iCs/>
      <w:szCs w:val="20"/>
    </w:rPr>
  </w:style>
  <w:style w:type="paragraph" w:styleId="TOC3">
    <w:name w:val="toc 3"/>
    <w:basedOn w:val="Normal"/>
    <w:next w:val="Normal"/>
    <w:autoRedefine/>
    <w:uiPriority w:val="39"/>
    <w:unhideWhenUsed/>
    <w:rsid w:val="003A4BEA"/>
    <w:pPr>
      <w:ind w:left="480"/>
    </w:pPr>
    <w:rPr>
      <w:rFonts w:ascii="Trade Gothic LT Std Extended" w:hAnsi="Trade Gothic LT Std Extended" w:cstheme="minorHAnsi"/>
      <w:szCs w:val="20"/>
    </w:rPr>
  </w:style>
  <w:style w:type="paragraph" w:styleId="TOC4">
    <w:name w:val="toc 4"/>
    <w:basedOn w:val="Normal"/>
    <w:next w:val="Normal"/>
    <w:autoRedefine/>
    <w:uiPriority w:val="39"/>
    <w:semiHidden/>
    <w:unhideWhenUsed/>
    <w:rsid w:val="003A4BEA"/>
    <w:pPr>
      <w:ind w:left="720"/>
    </w:pPr>
    <w:rPr>
      <w:rFonts w:cstheme="minorHAnsi"/>
      <w:szCs w:val="20"/>
    </w:rPr>
  </w:style>
  <w:style w:type="paragraph" w:styleId="TOC5">
    <w:name w:val="toc 5"/>
    <w:basedOn w:val="Normal"/>
    <w:next w:val="Normal"/>
    <w:autoRedefine/>
    <w:uiPriority w:val="39"/>
    <w:semiHidden/>
    <w:unhideWhenUsed/>
    <w:rsid w:val="003A4BEA"/>
    <w:pPr>
      <w:ind w:left="960"/>
    </w:pPr>
    <w:rPr>
      <w:rFonts w:cstheme="minorHAnsi"/>
      <w:szCs w:val="20"/>
    </w:rPr>
  </w:style>
  <w:style w:type="paragraph" w:styleId="TOC6">
    <w:name w:val="toc 6"/>
    <w:basedOn w:val="Normal"/>
    <w:next w:val="Normal"/>
    <w:autoRedefine/>
    <w:uiPriority w:val="39"/>
    <w:semiHidden/>
    <w:unhideWhenUsed/>
    <w:rsid w:val="003A4BEA"/>
    <w:pPr>
      <w:ind w:left="1200"/>
    </w:pPr>
    <w:rPr>
      <w:rFonts w:cstheme="minorHAnsi"/>
      <w:szCs w:val="20"/>
    </w:rPr>
  </w:style>
  <w:style w:type="paragraph" w:styleId="TOC7">
    <w:name w:val="toc 7"/>
    <w:basedOn w:val="Normal"/>
    <w:next w:val="Normal"/>
    <w:autoRedefine/>
    <w:uiPriority w:val="39"/>
    <w:semiHidden/>
    <w:unhideWhenUsed/>
    <w:rsid w:val="003A4BEA"/>
    <w:pPr>
      <w:ind w:left="1440"/>
    </w:pPr>
    <w:rPr>
      <w:rFonts w:cstheme="minorHAnsi"/>
      <w:szCs w:val="20"/>
    </w:rPr>
  </w:style>
  <w:style w:type="paragraph" w:styleId="TOC8">
    <w:name w:val="toc 8"/>
    <w:basedOn w:val="Normal"/>
    <w:next w:val="Normal"/>
    <w:autoRedefine/>
    <w:uiPriority w:val="39"/>
    <w:semiHidden/>
    <w:unhideWhenUsed/>
    <w:rsid w:val="003A4BEA"/>
    <w:pPr>
      <w:ind w:left="1680"/>
    </w:pPr>
    <w:rPr>
      <w:rFonts w:cstheme="minorHAnsi"/>
      <w:szCs w:val="20"/>
    </w:rPr>
  </w:style>
  <w:style w:type="paragraph" w:styleId="TOC9">
    <w:name w:val="toc 9"/>
    <w:basedOn w:val="Normal"/>
    <w:next w:val="Normal"/>
    <w:autoRedefine/>
    <w:uiPriority w:val="39"/>
    <w:semiHidden/>
    <w:unhideWhenUsed/>
    <w:rsid w:val="003A4BEA"/>
    <w:pPr>
      <w:ind w:left="1920"/>
    </w:pPr>
    <w:rPr>
      <w:rFonts w:cstheme="minorHAnsi"/>
      <w:szCs w:val="20"/>
    </w:rPr>
  </w:style>
  <w:style w:type="paragraph" w:styleId="TOCHeading">
    <w:name w:val="TOC Heading"/>
    <w:basedOn w:val="Heading1"/>
    <w:next w:val="Normal"/>
    <w:uiPriority w:val="39"/>
    <w:unhideWhenUsed/>
    <w:qFormat/>
    <w:rsid w:val="003A4BEA"/>
    <w:pPr>
      <w:spacing w:before="480" w:line="276" w:lineRule="auto"/>
      <w:outlineLvl w:val="9"/>
    </w:pPr>
    <w:rPr>
      <w:bCs/>
      <w:kern w:val="0"/>
      <w:sz w:val="28"/>
      <w:szCs w:val="28"/>
      <w14:ligatures w14:val="none"/>
    </w:rPr>
  </w:style>
  <w:style w:type="character" w:styleId="UnresolvedMention">
    <w:name w:val="Unresolved Mention"/>
    <w:basedOn w:val="DefaultParagraphFont"/>
    <w:uiPriority w:val="99"/>
    <w:semiHidden/>
    <w:unhideWhenUsed/>
    <w:rsid w:val="003A4BEA"/>
    <w:rPr>
      <w:color w:val="605E5C"/>
      <w:shd w:val="clear" w:color="auto" w:fill="E1DFDD"/>
    </w:rPr>
  </w:style>
  <w:style w:type="paragraph" w:customStyle="1" w:styleId="BulletedList">
    <w:name w:val="Bulleted List"/>
    <w:basedOn w:val="SubListParagraph"/>
    <w:qFormat/>
    <w:rsid w:val="004F31A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891758">
      <w:bodyDiv w:val="1"/>
      <w:marLeft w:val="0"/>
      <w:marRight w:val="0"/>
      <w:marTop w:val="0"/>
      <w:marBottom w:val="0"/>
      <w:divBdr>
        <w:top w:val="none" w:sz="0" w:space="0" w:color="auto"/>
        <w:left w:val="none" w:sz="0" w:space="0" w:color="auto"/>
        <w:bottom w:val="none" w:sz="0" w:space="0" w:color="auto"/>
        <w:right w:val="none" w:sz="0" w:space="0" w:color="auto"/>
      </w:divBdr>
      <w:divsChild>
        <w:div w:id="1646351534">
          <w:marLeft w:val="0"/>
          <w:marRight w:val="0"/>
          <w:marTop w:val="0"/>
          <w:marBottom w:val="0"/>
          <w:divBdr>
            <w:top w:val="none" w:sz="0" w:space="0" w:color="auto"/>
            <w:left w:val="none" w:sz="0" w:space="0" w:color="auto"/>
            <w:bottom w:val="none" w:sz="0" w:space="0" w:color="auto"/>
            <w:right w:val="none" w:sz="0" w:space="0" w:color="auto"/>
          </w:divBdr>
          <w:divsChild>
            <w:div w:id="1980766598">
              <w:marLeft w:val="0"/>
              <w:marRight w:val="0"/>
              <w:marTop w:val="0"/>
              <w:marBottom w:val="0"/>
              <w:divBdr>
                <w:top w:val="none" w:sz="0" w:space="0" w:color="auto"/>
                <w:left w:val="none" w:sz="0" w:space="0" w:color="auto"/>
                <w:bottom w:val="none" w:sz="0" w:space="0" w:color="auto"/>
                <w:right w:val="none" w:sz="0" w:space="0" w:color="auto"/>
              </w:divBdr>
            </w:div>
            <w:div w:id="1171915767">
              <w:marLeft w:val="0"/>
              <w:marRight w:val="0"/>
              <w:marTop w:val="0"/>
              <w:marBottom w:val="0"/>
              <w:divBdr>
                <w:top w:val="none" w:sz="0" w:space="0" w:color="auto"/>
                <w:left w:val="none" w:sz="0" w:space="0" w:color="auto"/>
                <w:bottom w:val="none" w:sz="0" w:space="0" w:color="auto"/>
                <w:right w:val="none" w:sz="0" w:space="0" w:color="auto"/>
              </w:divBdr>
            </w:div>
            <w:div w:id="413430842">
              <w:marLeft w:val="0"/>
              <w:marRight w:val="0"/>
              <w:marTop w:val="0"/>
              <w:marBottom w:val="0"/>
              <w:divBdr>
                <w:top w:val="none" w:sz="0" w:space="0" w:color="auto"/>
                <w:left w:val="none" w:sz="0" w:space="0" w:color="auto"/>
                <w:bottom w:val="none" w:sz="0" w:space="0" w:color="auto"/>
                <w:right w:val="none" w:sz="0" w:space="0" w:color="auto"/>
              </w:divBdr>
            </w:div>
            <w:div w:id="168717915">
              <w:marLeft w:val="0"/>
              <w:marRight w:val="0"/>
              <w:marTop w:val="0"/>
              <w:marBottom w:val="0"/>
              <w:divBdr>
                <w:top w:val="none" w:sz="0" w:space="0" w:color="auto"/>
                <w:left w:val="none" w:sz="0" w:space="0" w:color="auto"/>
                <w:bottom w:val="none" w:sz="0" w:space="0" w:color="auto"/>
                <w:right w:val="none" w:sz="0" w:space="0" w:color="auto"/>
              </w:divBdr>
            </w:div>
            <w:div w:id="964701326">
              <w:marLeft w:val="0"/>
              <w:marRight w:val="0"/>
              <w:marTop w:val="0"/>
              <w:marBottom w:val="0"/>
              <w:divBdr>
                <w:top w:val="none" w:sz="0" w:space="0" w:color="auto"/>
                <w:left w:val="none" w:sz="0" w:space="0" w:color="auto"/>
                <w:bottom w:val="none" w:sz="0" w:space="0" w:color="auto"/>
                <w:right w:val="none" w:sz="0" w:space="0" w:color="auto"/>
              </w:divBdr>
            </w:div>
            <w:div w:id="1777601641">
              <w:marLeft w:val="0"/>
              <w:marRight w:val="0"/>
              <w:marTop w:val="0"/>
              <w:marBottom w:val="0"/>
              <w:divBdr>
                <w:top w:val="none" w:sz="0" w:space="0" w:color="auto"/>
                <w:left w:val="none" w:sz="0" w:space="0" w:color="auto"/>
                <w:bottom w:val="none" w:sz="0" w:space="0" w:color="auto"/>
                <w:right w:val="none" w:sz="0" w:space="0" w:color="auto"/>
              </w:divBdr>
            </w:div>
            <w:div w:id="757603705">
              <w:marLeft w:val="0"/>
              <w:marRight w:val="0"/>
              <w:marTop w:val="0"/>
              <w:marBottom w:val="0"/>
              <w:divBdr>
                <w:top w:val="none" w:sz="0" w:space="0" w:color="auto"/>
                <w:left w:val="none" w:sz="0" w:space="0" w:color="auto"/>
                <w:bottom w:val="none" w:sz="0" w:space="0" w:color="auto"/>
                <w:right w:val="none" w:sz="0" w:space="0" w:color="auto"/>
              </w:divBdr>
            </w:div>
            <w:div w:id="1140346135">
              <w:marLeft w:val="0"/>
              <w:marRight w:val="0"/>
              <w:marTop w:val="0"/>
              <w:marBottom w:val="0"/>
              <w:divBdr>
                <w:top w:val="none" w:sz="0" w:space="0" w:color="auto"/>
                <w:left w:val="none" w:sz="0" w:space="0" w:color="auto"/>
                <w:bottom w:val="none" w:sz="0" w:space="0" w:color="auto"/>
                <w:right w:val="none" w:sz="0" w:space="0" w:color="auto"/>
              </w:divBdr>
            </w:div>
            <w:div w:id="110903803">
              <w:marLeft w:val="0"/>
              <w:marRight w:val="0"/>
              <w:marTop w:val="0"/>
              <w:marBottom w:val="0"/>
              <w:divBdr>
                <w:top w:val="none" w:sz="0" w:space="0" w:color="auto"/>
                <w:left w:val="none" w:sz="0" w:space="0" w:color="auto"/>
                <w:bottom w:val="none" w:sz="0" w:space="0" w:color="auto"/>
                <w:right w:val="none" w:sz="0" w:space="0" w:color="auto"/>
              </w:divBdr>
            </w:div>
            <w:div w:id="1523088550">
              <w:marLeft w:val="0"/>
              <w:marRight w:val="0"/>
              <w:marTop w:val="0"/>
              <w:marBottom w:val="0"/>
              <w:divBdr>
                <w:top w:val="none" w:sz="0" w:space="0" w:color="auto"/>
                <w:left w:val="none" w:sz="0" w:space="0" w:color="auto"/>
                <w:bottom w:val="none" w:sz="0" w:space="0" w:color="auto"/>
                <w:right w:val="none" w:sz="0" w:space="0" w:color="auto"/>
              </w:divBdr>
            </w:div>
            <w:div w:id="350306853">
              <w:marLeft w:val="0"/>
              <w:marRight w:val="0"/>
              <w:marTop w:val="0"/>
              <w:marBottom w:val="0"/>
              <w:divBdr>
                <w:top w:val="none" w:sz="0" w:space="0" w:color="auto"/>
                <w:left w:val="none" w:sz="0" w:space="0" w:color="auto"/>
                <w:bottom w:val="none" w:sz="0" w:space="0" w:color="auto"/>
                <w:right w:val="none" w:sz="0" w:space="0" w:color="auto"/>
              </w:divBdr>
            </w:div>
            <w:div w:id="636180581">
              <w:marLeft w:val="0"/>
              <w:marRight w:val="0"/>
              <w:marTop w:val="0"/>
              <w:marBottom w:val="0"/>
              <w:divBdr>
                <w:top w:val="none" w:sz="0" w:space="0" w:color="auto"/>
                <w:left w:val="none" w:sz="0" w:space="0" w:color="auto"/>
                <w:bottom w:val="none" w:sz="0" w:space="0" w:color="auto"/>
                <w:right w:val="none" w:sz="0" w:space="0" w:color="auto"/>
              </w:divBdr>
            </w:div>
            <w:div w:id="828787597">
              <w:marLeft w:val="0"/>
              <w:marRight w:val="0"/>
              <w:marTop w:val="0"/>
              <w:marBottom w:val="0"/>
              <w:divBdr>
                <w:top w:val="none" w:sz="0" w:space="0" w:color="auto"/>
                <w:left w:val="none" w:sz="0" w:space="0" w:color="auto"/>
                <w:bottom w:val="none" w:sz="0" w:space="0" w:color="auto"/>
                <w:right w:val="none" w:sz="0" w:space="0" w:color="auto"/>
              </w:divBdr>
            </w:div>
            <w:div w:id="2135564159">
              <w:marLeft w:val="0"/>
              <w:marRight w:val="0"/>
              <w:marTop w:val="0"/>
              <w:marBottom w:val="0"/>
              <w:divBdr>
                <w:top w:val="none" w:sz="0" w:space="0" w:color="auto"/>
                <w:left w:val="none" w:sz="0" w:space="0" w:color="auto"/>
                <w:bottom w:val="none" w:sz="0" w:space="0" w:color="auto"/>
                <w:right w:val="none" w:sz="0" w:space="0" w:color="auto"/>
              </w:divBdr>
            </w:div>
            <w:div w:id="1753039699">
              <w:marLeft w:val="0"/>
              <w:marRight w:val="0"/>
              <w:marTop w:val="0"/>
              <w:marBottom w:val="0"/>
              <w:divBdr>
                <w:top w:val="none" w:sz="0" w:space="0" w:color="auto"/>
                <w:left w:val="none" w:sz="0" w:space="0" w:color="auto"/>
                <w:bottom w:val="none" w:sz="0" w:space="0" w:color="auto"/>
                <w:right w:val="none" w:sz="0" w:space="0" w:color="auto"/>
              </w:divBdr>
            </w:div>
            <w:div w:id="1707413340">
              <w:marLeft w:val="0"/>
              <w:marRight w:val="0"/>
              <w:marTop w:val="0"/>
              <w:marBottom w:val="0"/>
              <w:divBdr>
                <w:top w:val="none" w:sz="0" w:space="0" w:color="auto"/>
                <w:left w:val="none" w:sz="0" w:space="0" w:color="auto"/>
                <w:bottom w:val="none" w:sz="0" w:space="0" w:color="auto"/>
                <w:right w:val="none" w:sz="0" w:space="0" w:color="auto"/>
              </w:divBdr>
            </w:div>
            <w:div w:id="1146557142">
              <w:marLeft w:val="0"/>
              <w:marRight w:val="0"/>
              <w:marTop w:val="0"/>
              <w:marBottom w:val="0"/>
              <w:divBdr>
                <w:top w:val="none" w:sz="0" w:space="0" w:color="auto"/>
                <w:left w:val="none" w:sz="0" w:space="0" w:color="auto"/>
                <w:bottom w:val="none" w:sz="0" w:space="0" w:color="auto"/>
                <w:right w:val="none" w:sz="0" w:space="0" w:color="auto"/>
              </w:divBdr>
            </w:div>
            <w:div w:id="385378152">
              <w:marLeft w:val="0"/>
              <w:marRight w:val="0"/>
              <w:marTop w:val="0"/>
              <w:marBottom w:val="0"/>
              <w:divBdr>
                <w:top w:val="none" w:sz="0" w:space="0" w:color="auto"/>
                <w:left w:val="none" w:sz="0" w:space="0" w:color="auto"/>
                <w:bottom w:val="none" w:sz="0" w:space="0" w:color="auto"/>
                <w:right w:val="none" w:sz="0" w:space="0" w:color="auto"/>
              </w:divBdr>
            </w:div>
            <w:div w:id="895044682">
              <w:marLeft w:val="0"/>
              <w:marRight w:val="0"/>
              <w:marTop w:val="0"/>
              <w:marBottom w:val="0"/>
              <w:divBdr>
                <w:top w:val="none" w:sz="0" w:space="0" w:color="auto"/>
                <w:left w:val="none" w:sz="0" w:space="0" w:color="auto"/>
                <w:bottom w:val="none" w:sz="0" w:space="0" w:color="auto"/>
                <w:right w:val="none" w:sz="0" w:space="0" w:color="auto"/>
              </w:divBdr>
            </w:div>
            <w:div w:id="1304849864">
              <w:marLeft w:val="0"/>
              <w:marRight w:val="0"/>
              <w:marTop w:val="0"/>
              <w:marBottom w:val="0"/>
              <w:divBdr>
                <w:top w:val="none" w:sz="0" w:space="0" w:color="auto"/>
                <w:left w:val="none" w:sz="0" w:space="0" w:color="auto"/>
                <w:bottom w:val="none" w:sz="0" w:space="0" w:color="auto"/>
                <w:right w:val="none" w:sz="0" w:space="0" w:color="auto"/>
              </w:divBdr>
            </w:div>
            <w:div w:id="1276445756">
              <w:marLeft w:val="0"/>
              <w:marRight w:val="0"/>
              <w:marTop w:val="0"/>
              <w:marBottom w:val="0"/>
              <w:divBdr>
                <w:top w:val="none" w:sz="0" w:space="0" w:color="auto"/>
                <w:left w:val="none" w:sz="0" w:space="0" w:color="auto"/>
                <w:bottom w:val="none" w:sz="0" w:space="0" w:color="auto"/>
                <w:right w:val="none" w:sz="0" w:space="0" w:color="auto"/>
              </w:divBdr>
            </w:div>
            <w:div w:id="144274802">
              <w:marLeft w:val="0"/>
              <w:marRight w:val="0"/>
              <w:marTop w:val="0"/>
              <w:marBottom w:val="0"/>
              <w:divBdr>
                <w:top w:val="none" w:sz="0" w:space="0" w:color="auto"/>
                <w:left w:val="none" w:sz="0" w:space="0" w:color="auto"/>
                <w:bottom w:val="none" w:sz="0" w:space="0" w:color="auto"/>
                <w:right w:val="none" w:sz="0" w:space="0" w:color="auto"/>
              </w:divBdr>
            </w:div>
            <w:div w:id="1250820196">
              <w:marLeft w:val="0"/>
              <w:marRight w:val="0"/>
              <w:marTop w:val="0"/>
              <w:marBottom w:val="0"/>
              <w:divBdr>
                <w:top w:val="none" w:sz="0" w:space="0" w:color="auto"/>
                <w:left w:val="none" w:sz="0" w:space="0" w:color="auto"/>
                <w:bottom w:val="none" w:sz="0" w:space="0" w:color="auto"/>
                <w:right w:val="none" w:sz="0" w:space="0" w:color="auto"/>
              </w:divBdr>
            </w:div>
            <w:div w:id="38071738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 Id="rId11" Type="http://schemas.openxmlformats.org/officeDocument/2006/relationships/image" Target="media/image_rId11_document.png"/></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29</TotalTime>
  <Pages>1</Pages>
  <Words>20</Words>
  <Characters>119</Characters>
  <Application>Microsoft Office Word</Application>
  <DocSecurity>0</DocSecurity>
  <Lines>1</Lines>
  <Paragraphs>1</Paragraphs>
  <ScaleCrop>false</ScaleCrop>
  <Company/>
  <LinksUpToDate>false</LinksUpToDate>
  <CharactersWithSpaces>138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James Lloyd</dc:creator>
  <cp:keywords/>
  <dc:description/>
  <cp:lastModifiedBy>James Lloyd</cp:lastModifiedBy>
  <cp:revision>41</cp:revision>
  <dcterms:created xsi:type="dcterms:W3CDTF">2024-06-05T13:07:00Z</dcterms:created>
  <dcterms:modified xsi:type="dcterms:W3CDTF">2024-07-23T18:15:00Z</dcterms:modified>
</cp:coreProperties>
</file>