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Taylor D. Carlucci</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216.274.2280</w:t>
            </w:r>
            <w:br/>
            <w:r>
              <w:rPr>
                <w:color w:val="337CB4"/>
              </w:rPr>
              <w:t xml:space="preserve">email </w:t>
            </w:r>
            <w:r>
              <w:rPr/>
              <w:t xml:space="preserve"> tdcarlucci@hahnlaw.com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Fiduciary Litigation, Fiduciary Services &amp; Trust Administration, Estate Planning, Estate Settlement</w:t>
            </w:r>
          </w:p>
        </w:tc>
      </w:tr>
    </w:tbl>
    <w:tbl>
      <w:tblGrid>
        <w:gridCol/>
      </w:tblGrid>
      <w:tr>
        <w:trPr/>
        <w:tc>
          <w:tcPr>
            <w:noWrap/>
          </w:tcPr>
          <w:p>
            <w:pPr/>
            <w:r>
              <w:rPr/>
              <w:t xml:space="preserve">Taylor Carlucci (née Smoske) is an associate in Hahn Loeser’s Trusts and Estates Practice Area, where she focuses her practice on probate and fiduciary litigation, estate and trust administration, and estate planning. Taylor is licensed in both Ohio and New York.</w:t>
            </w:r>
          </w:p>
          <w:p>
            <w:pPr>
              <w:pStyle w:val="Heading2"/>
            </w:pPr>
            <w:r>
              <w:rPr/>
              <w:t xml:space="preserve">Probate and Fiduciary Litigation</w:t>
            </w:r>
          </w:p>
          <w:p>
            <w:pPr/>
            <w:r>
              <w:rPr/>
              <w:t xml:space="preserve">Taylor specializes in handling adversarial probate matters, including contested trust and estate administrations, will and trust contests based on claims undue influence, lack of capacity, duress, and fraud, fiduciary litigation and breaches of fiduciary duty, and many others. Taylor both prosecutes and defends these claims on behalf of her clients, and also counsels clients in the early stages of trust and estate administration to avoid later litigation amongst family members.</w:t>
            </w:r>
          </w:p>
          <w:p>
            <w:pPr>
              <w:pStyle w:val="Heading2"/>
            </w:pPr>
            <w:r>
              <w:rPr/>
              <w:t xml:space="preserve">Trust and Estate Administration</w:t>
            </w:r>
          </w:p>
          <w:p>
            <w:pPr/>
            <w:r>
              <w:rPr/>
              <w:t xml:space="preserve">Taylor is experienced in the administration of both probate and non-probate assets, and has administered estates in roughly a dozen counties in Ohio. Taylor counsels clients, whether fiduciaries or beneficiaries, through the probate process to ensure a timely and transparent administration.</w:t>
            </w:r>
          </w:p>
          <w:p>
            <w:pPr/>
            <w:r>
              <w:rPr/>
              <w:t xml:space="preserve">While not in the office, Taylor stays engaged in Cleveland’s legal community through speaking engagements and memberships in numerous Bar Associations and professional organizations. Taylor is passionate about her work and is always seeking to build her knowledge base in order to provide exceptional service to her clients.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New York, 2020</w:t>
      </w:r>
      <w:r>
        <w:t xml:space="preserve"> </w:t>
      </w:r>
    </w:p>
    <w:p w:rsidR="007F1EF5" w:rsidP="00C214F1" w:rsidRDefault="00C214F1">
      <w:pPr>
        <w:pStyle w:val="ListParagraph"/>
      </w:pPr>
      <w:r>
        <w:t>State of Ohio, 2021</w:t>
      </w:r>
      <w:r>
        <w:t xml:space="preserve"> </w:t>
      </w:r>
    </w:p>
    <w:p w:rsidR="007F1EF5" w:rsidP="00C214F1" w:rsidRDefault="00C214F1">
      <w:pPr>
        <w:pStyle w:val="ListParagraph"/>
      </w:pPr>
      <w:r>
        <w:t>U.S. District Court, Northern District of Ohio, 2024</w:t>
      </w:r>
      <w:r>
        <w:t xml:space="preserve"> </w:t>
      </w:r>
    </w:p>
    <w:p w:rsidR="007F1EF5" w:rsidP="00C214F1" w:rsidRDefault="00C214F1">
      <w:pPr>
        <w:pStyle w:val="Heading2"/>
      </w:pPr>
      <w:r w:rsidRPr="009328C8">
        <w:t>EDUCATION</w:t>
      </w:r>
    </w:p>
    <w:p w:rsidR="007F1EF5" w:rsidP="00C214F1" w:rsidRDefault="00C214F1">
      <w:pPr>
        <w:pStyle w:val="ListParagraph"/>
      </w:pPr>
      <w:r>
        <w:t>Brooklyn Law School, J.D., 2019</w:t>
      </w:r>
      <w:r>
        <w:t xml:space="preserve"> </w:t>
      </w:r>
    </w:p>
    <w:p w:rsidR="007F1EF5" w:rsidP="00C214F1" w:rsidRDefault="00C214F1">
      <w:pPr>
        <w:ind w:left="705"/>
      </w:pPr>
      <w:r>
        <w:t>Brooklyn Journal of International Law, Notes and Comments Editor</w:t>
      </w:r>
      <w:r>
        <w:t xml:space="preserve"> </w:t>
      </w:r>
    </w:p>
    <w:p w:rsidR="007F1EF5" w:rsidP="00C214F1" w:rsidRDefault="00C214F1">
      <w:pPr>
        <w:pStyle w:val="ListParagraph"/>
      </w:pPr>
      <w:r>
        <w:t>University of Massachusetts Amherst, B.A. Political Science and Economics, 2016</w:t>
      </w:r>
      <w:r>
        <w:t xml:space="preserve"> </w:t>
      </w:r>
    </w:p>
    <w:p w:rsidR="007F1EF5" w:rsidP="00C214F1" w:rsidRDefault="00C214F1">
      <w:pPr>
        <w:ind w:left="705"/>
      </w:pPr>
      <w:r>
        <w:t>Pre-Law Society</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in America, Trusts and Estates, 2023-2024</w:t>
      </w:r>
      <w:r>
        <w:t xml:space="preserve"> </w:t>
      </w:r>
    </w:p>
    <w:p w:rsidR="007F1EF5" w:rsidP="00C214F1" w:rsidRDefault="00C214F1">
      <w:pPr>
        <w:pStyle w:val="ListParagraph"/>
      </w:pPr>
      <w:r>
        <w:t>FDCC Ladder Down Cleveland, Class of 2024</w:t>
      </w:r>
      <w:r>
        <w:t xml:space="preserve"> </w:t>
      </w:r>
    </w:p>
    <w:p w:rsidR="007F1EF5" w:rsidP="00C214F1" w:rsidRDefault="00C214F1">
      <w:pPr>
        <w:pStyle w:val="ListParagraph"/>
      </w:pPr>
      <w:r>
        <w:t>Cleveland Metropolitan Bar Association, Leadership Academy Class of 2024</w:t>
      </w:r>
      <w:r>
        <w:t xml:space="preserve"> </w:t>
      </w:r>
    </w:p>
    <w:p w:rsidR="007F1EF5" w:rsidP="00C214F1" w:rsidRDefault="00C214F1">
      <w:pPr>
        <w:pStyle w:val="ListParagraph"/>
      </w:pPr>
      <w:r>
        <w:t>The Legal Aid Society of Cleveland, Time Well Spent Honor Society</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Ohio Trust Accountings: Keeping Beneficiaries Informed and Trustees Out of Trouble (Probate Law Journal of Ohio)</w:t>
      </w:r>
      <w:r>
        <w:t xml:space="preserve"> </w:t>
      </w:r>
    </w:p>
    <w:p w:rsidR="007F1EF5" w:rsidP="00C214F1" w:rsidRDefault="00C214F1">
      <w:pPr>
        <w:pStyle w:val="ListParagraph"/>
      </w:pPr>
      <w:r>
        <w:t>Ohio Trust Accountings: Guidelines and Best Practices (Cleveland Metropolitan Bar Association)</w:t>
      </w:r>
      <w:r>
        <w:t xml:space="preserve"> </w:t>
      </w:r>
    </w:p>
    <w:p w:rsidR="007F1EF5" w:rsidP="00C214F1" w:rsidRDefault="00C214F1">
      <w:pPr>
        <w:pStyle w:val="ListParagraph"/>
      </w:pPr>
      <w:r>
        <w:t>2024 Ohio Caselaw Update (Cleveland Metropolitan Bar Association)</w:t>
      </w:r>
      <w:r>
        <w:t xml:space="preserve"> </w:t>
      </w:r>
    </w:p>
    <w:p w:rsidR="007F1EF5" w:rsidP="00C214F1" w:rsidRDefault="00C214F1">
      <w:pPr>
        <w:pStyle w:val="ListParagraph"/>
      </w:pPr>
      <w:r>
        <w:t>How to Draft a Will (Cleveland Metropolitan Bar Association)</w:t>
      </w:r>
      <w:r>
        <w:t xml:space="preserve"> </w:t>
      </w:r>
    </w:p>
    <w:p w:rsidR="007F1EF5" w:rsidP="00C214F1" w:rsidRDefault="00C214F1">
      <w:pPr>
        <w:pStyle w:val="ListParagraph"/>
      </w:pPr>
      <w:r>
        <w:t>Evidence in Probate Matters (Columbus Bar Association)</w:t>
      </w:r>
      <w:r>
        <w:t xml:space="preserve"> </w:t>
      </w:r>
    </w:p>
    <w:p w:rsidR="007F1EF5" w:rsidP="00C214F1" w:rsidRDefault="00C214F1">
      <w:pPr>
        <w:pStyle w:val="ListParagraph"/>
      </w:pPr>
      <w:r>
        <w:t>Ohio Estate Administration from Start to Finish (National Business Institute)</w:t>
      </w:r>
      <w:r>
        <w:t xml:space="preserve"> </w:t>
      </w:r>
    </w:p>
    <w:p w:rsidR="007F1EF5" w:rsidP="00C214F1" w:rsidRDefault="00C214F1">
      <w:pPr>
        <w:pStyle w:val="ListParagraph"/>
      </w:pPr>
      <w:r>
        <w:t>Rights of Disposition (Columbus Bar Association)</w:t>
      </w:r>
      <w:r>
        <w:t xml:space="preserve"> </w:t>
      </w:r>
    </w:p>
    <w:p w:rsidR="007F1EF5" w:rsidP="00C214F1" w:rsidRDefault="00C214F1">
      <w:pPr>
        <w:pStyle w:val="Heading2"/>
      </w:pPr>
      <w:r w:rsidRPr="009328C8">
        <w:t>MEMBERSHIPS &amp; AFFILIATIONS</w:t>
      </w:r>
    </w:p>
    <w:p w:rsidR="007F1EF5" w:rsidP="00C214F1" w:rsidRDefault="00C214F1">
      <w:pPr>
        <w:pStyle w:val="ListParagraph"/>
      </w:pPr>
      <w:r>
        <w:t>William K. Thomas Inn of Court</w:t>
      </w:r>
      <w:r>
        <w:t xml:space="preserve"> </w:t>
      </w:r>
    </w:p>
    <w:p w:rsidR="007F1EF5" w:rsidP="00C214F1" w:rsidRDefault="00C214F1">
      <w:pPr>
        <w:pStyle w:val="ListParagraph"/>
      </w:pPr>
      <w:r>
        <w:t>Ohio State Bar Association</w:t>
      </w:r>
      <w:r>
        <w:t xml:space="preserve"> </w:t>
      </w:r>
    </w:p>
    <w:p w:rsidR="007F1EF5" w:rsidP="00C214F1" w:rsidRDefault="00C214F1">
      <w:pPr>
        <w:pStyle w:val="ListParagraph"/>
      </w:pPr>
      <w:r>
        <w:t>Cleveland Metropolitan Bar Association</w:t>
      </w:r>
      <w:r>
        <w:t xml:space="preserve"> </w:t>
      </w:r>
    </w:p>
    <w:p w:rsidR="007F1EF5" w:rsidP="00C214F1" w:rsidRDefault="00C214F1">
      <w:pPr>
        <w:pStyle w:val="ListParagraph"/>
      </w:pPr>
      <w:r>
        <w:t>New York State Bar Association</w:t>
      </w:r>
      <w:r>
        <w:t xml:space="preserve"> </w:t>
      </w:r>
    </w:p>
    <w:p w:rsidR="007F1EF5" w:rsidP="00C214F1" w:rsidRDefault="00C214F1">
      <w:pPr>
        <w:pStyle w:val="ListParagraph"/>
      </w:pPr>
      <w:r>
        <w:t>New York City Bar Association</w:t>
      </w:r>
      <w:r>
        <w:t xml:space="preserve"> </w:t>
      </w:r>
    </w:p>
    <w:p w:rsidR="007F1EF5" w:rsidP="00C214F1" w:rsidRDefault="00C214F1">
      <w:pPr>
        <w:pStyle w:val="ListParagraph"/>
      </w:pPr>
      <w:r>
        <w:t>American Bar Association</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2024 – present</w:t>
      </w:r>
      <w:r>
        <w:t xml:space="preserve"> </w:t>
      </w:r>
    </w:p>
    <w:p w:rsidR="007F1EF5" w:rsidP="00C214F1" w:rsidRDefault="00C214F1">
      <w:pPr>
        <w:pStyle w:val="ListParagraph"/>
      </w:pPr>
      <w:r>
        <w:t>Associate, Reminger Co. LPA, 2021 – 2024</w:t>
      </w:r>
      <w:r>
        <w:t xml:space="preserve"> </w:t>
      </w:r>
    </w:p>
    <w:p w:rsidR="007F1EF5" w:rsidP="00C214F1" w:rsidRDefault="00C214F1">
      <w:pPr>
        <w:pStyle w:val="ListParagraph"/>
      </w:pPr>
      <w:r>
        <w:t>Associate, Dev Kuhar Law, 2021</w:t>
      </w:r>
      <w:r>
        <w:t xml:space="preserve"> </w:t>
      </w:r>
    </w:p>
    <w:p w:rsidR="007F1EF5" w:rsidP="00C214F1" w:rsidRDefault="00C214F1">
      <w:pPr>
        <w:pStyle w:val="ListParagraph"/>
      </w:pPr>
      <w:r>
        <w:t>Judicial Law Clerk, the Honorable Jeanette Rodriguez-Morick, 2019-2021</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