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Mark M. Rawdin</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619.810.4327</w:t>
            </w:r>
            <w:br/>
            <w:r>
              <w:rPr>
                <w:color w:val="337CB4"/>
              </w:rPr>
              <w:t xml:space="preserve">email </w:t>
            </w:r>
            <w:r>
              <w:rPr/>
              <w:t xml:space="preserve"> mmrawdin@hahnlaw.com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Litigation, Business Law, Trade Secrets, Labor &amp; Employment, Real Estate, Class Action Litigation, Intellectual Property</w:t>
            </w:r>
          </w:p>
        </w:tc>
      </w:tr>
    </w:tbl>
    <w:tbl>
      <w:tblGrid>
        <w:gridCol/>
      </w:tblGrid>
      <w:tr>
        <w:trPr/>
        <w:tc>
          <w:tcPr>
            <w:noWrap/>
          </w:tcPr>
          <w:p>
            <w:pPr/>
            <w:r>
              <w:rPr/>
              <w:t xml:space="preserve">Mark Rawdin represents businesses in complex commercial litigation and transactional matters. His practice encompasses technology, intellectual property, real estate, and financial services, serving emerging growth companies and established businesses navigating corporate governance disputes and litigation defense.</w:t>
            </w:r>
          </w:p>
          <w:p>
            <w:pPr/>
            <w:r>
              <w:rPr/>
              <w:t xml:space="preserve">Mark’s litigation practice covers intellectual property disputes, business torts, employment matters, corporate governance conflicts, class-action defense, and unfair competition claims. He handles cases involving tortious interference, trade secret misappropriation, breach of fiduciary duty, and complex multi-party disputes in both state and federal courts. Mark also provides transactional counsel for mergers and acquisitions, commercial real estate transactions, business formation and restructuring, and contract negotiation.</w:t>
            </w:r>
          </w:p>
          <w:p>
            <w:pPr/>
            <w:r>
              <w:rPr/>
              <w:t xml:space="preserve">Mark defends clients in high-stakes commercial disputes where litigation decisions directly impact business operations and valuation. He combines deep transactional experience with litigation strategy, allowing him to anticipate vulnerabilities, identify settlement leverage, and structure solutions that protect both immediate interests and long-term business positioning.</w:t>
            </w:r>
          </w:p>
          <w:p>
            <w:pPr/>
            <w:r>
              <w:rPr/>
              <w:t xml:space="preserve">Mark earned his J.D. from the University of San Diego School of Law, where he earned a CALI Award in Corporate Innovation and Legal Policy. During law school, he externed for the Honorable Gonzalo Curiel of the U.S. District Court, Southern District of California, and gained valuable experience clerking for a multi-state litigation firm with offices throughout the western United States. He maintains active membership in the California State Bar and is admitted to practice in the U.S. District Courts for the Southern, Central, Eastern, and Northern Districts of California.</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