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Malek A. Khawam</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216.274.2266</w:t>
            </w:r>
            <w:br/>
            <w:r>
              <w:rPr>
                <w:color w:val="337CB4"/>
              </w:rPr>
              <w:t xml:space="preserve">email </w:t>
            </w:r>
            <w:r>
              <w:rPr/>
              <w:t xml:space="preserve"> mkhawam@hahnlaw.com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Business Law, Real Estate, Construction, Litigation, Eminent Domain</w:t>
            </w:r>
          </w:p>
        </w:tc>
      </w:tr>
    </w:tbl>
    <w:tbl>
      <w:tblGrid>
        <w:gridCol/>
      </w:tblGrid>
      <w:tr>
        <w:trPr/>
        <w:tc>
          <w:tcPr>
            <w:noWrap/>
          </w:tcPr>
          <w:p>
            <w:pPr/>
            <w:r>
              <w:rPr/>
              <w:t xml:space="preserve">With a comprehensive background spanning commercial transactions, construction, and real estate and land use, Malek Khawam offers tailored guidance to help a client base that includes fortune 500 companies, small businesses and middle market. Malek’s practical advice and attention to risk mitigation provides clients with confidence throughout their projects and the flexibility to achieve their business goals.</w:t>
            </w:r>
          </w:p>
          <w:p>
            <w:pPr>
              <w:pStyle w:val="Heading2"/>
            </w:pPr>
            <w:r>
              <w:rPr/>
              <w:t xml:space="preserve">Commercial Transactions</w:t>
            </w:r>
          </w:p>
          <w:p>
            <w:pPr/>
            <w:r>
              <w:rPr/>
              <w:t xml:space="preserve">Malek’s commercial transaction practice involves the development and negotiation of commercial contracts, working closely with internal counsel and business teams to mitigate risk and position the business to achieve commercial objectives. Malek drafts, reviews and negotiates distribution, manufacturing, development, and supply agreements, professional service contracts, licensing agreements, master services agreements, facility management agreements, brokerage contracts, consulting agreements, and loan documents.</w:t>
            </w:r>
          </w:p>
          <w:p>
            <w:pPr>
              <w:pStyle w:val="Heading2"/>
            </w:pPr>
            <w:r>
              <w:rPr/>
              <w:t xml:space="preserve">Real Estate and Land Use</w:t>
            </w:r>
          </w:p>
          <w:p>
            <w:pPr/>
            <w:r>
              <w:rPr/>
              <w:t xml:space="preserve">Malek navigates real estate matters for both individuals and businesses providing comprehensive guidance for developers and commercial operators through each step, be it acquisitions, sales, leasing, or due diligence, title, land use and operational concerns. Making sure clients are well-protected and positioned for success, Malek’s writing and negotiation experience includes agreements for: real estate purchase and sales, leasing, facility management, project management, operating, access and easements, and commercial real estate service providers and suppliers.</w:t>
            </w:r>
          </w:p>
          <w:p>
            <w:pPr/>
            <w:r>
              <w:rPr/>
              <w:t xml:space="preserve">Malek also has experience with foreclosure law. He also guides clients through eminent domain issues with condemning authorities to ensure fair compensation.</w:t>
            </w:r>
          </w:p>
          <w:p>
            <w:pPr>
              <w:pStyle w:val="Heading2"/>
            </w:pPr>
            <w:r>
              <w:rPr/>
              <w:t xml:space="preserve">Construction</w:t>
            </w:r>
          </w:p>
          <w:p>
            <w:pPr/>
            <w:r>
              <w:rPr/>
              <w:t xml:space="preserve">Malek supports construction project participants at all levels, representing owners, developers, architects, general contractors, subcontractors and equipment suppliers. In the realm of construction and project management, Malek assists clients with construction contracts, contractor and subcontractor agreements, and professional service agreements. When necessary, Malek leads clients through litigation and has specific experience in mechanic’s lien law.</w:t>
            </w:r>
          </w:p>
          <w:p>
            <w:pPr/>
            <w:r>
              <w:rPr/>
              <w:t xml:space="preserve">Serving as an attorney in Cleveland since 2020, Malek also has experience at the United States Attorney’s Office, Northern District of Ohio as a legal extern. He has strong roots in Cleveland and is committed to cultivating engagement and ensuring Arab American representation in Northeast Ohio’s civic and cultural institutions.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 2020</w:t>
      </w:r>
      <w:r>
        <w:t xml:space="preserve"> </w:t>
      </w:r>
    </w:p>
    <w:p w:rsidR="007F1EF5" w:rsidP="00C214F1" w:rsidRDefault="00C214F1">
      <w:pPr>
        <w:pStyle w:val="ListParagraph"/>
      </w:pPr>
      <w:r>
        <w:t>Southern District Court for the Northern District of Ohio</w:t>
      </w:r>
      <w:r>
        <w:t xml:space="preserve"> </w:t>
      </w:r>
    </w:p>
    <w:p w:rsidR="007F1EF5" w:rsidP="00C214F1" w:rsidRDefault="00C214F1">
      <w:pPr>
        <w:pStyle w:val="Heading2"/>
      </w:pPr>
      <w:r w:rsidRPr="009328C8">
        <w:t>EDUCATION</w:t>
      </w:r>
    </w:p>
    <w:p w:rsidR="007F1EF5" w:rsidP="00C214F1" w:rsidRDefault="00C214F1">
      <w:pPr>
        <w:pStyle w:val="ListParagraph"/>
      </w:pPr>
      <w:r>
        <w:t>Cleveland State College of Law, J.D., magna cum laude, 2020</w:t>
      </w:r>
      <w:r>
        <w:t xml:space="preserve"> </w:t>
      </w:r>
    </w:p>
    <w:p w:rsidR="007F1EF5" w:rsidP="00C214F1" w:rsidRDefault="00C214F1">
      <w:pPr>
        <w:ind w:left="705"/>
      </w:pPr>
      <w:r>
        <w:t>Moot Court – American Bar Association; Black Law Students Association, Treasurer; Student Bar Association, Treasurer; Charles Auerbach Memorial Award for Evidence</w:t>
      </w:r>
      <w:r>
        <w:t xml:space="preserve"> </w:t>
      </w:r>
    </w:p>
    <w:p w:rsidR="007F1EF5" w:rsidP="00C214F1" w:rsidRDefault="00C214F1">
      <w:pPr>
        <w:pStyle w:val="ListParagraph"/>
      </w:pPr>
      <w:r>
        <w:t>Cleveland State University, Maxine Goodman Levine College of Urban Affairs, M.P.A., Local Urban Management, 2017</w:t>
      </w:r>
      <w:r>
        <w:t xml:space="preserve"> </w:t>
      </w:r>
    </w:p>
    <w:p w:rsidR="007F1EF5" w:rsidP="00C214F1" w:rsidRDefault="00C214F1">
      <w:pPr>
        <w:pStyle w:val="ListParagraph"/>
      </w:pPr>
      <w:r>
        <w:t>Cleveland State University, B.A., Urban Studies, 2016</w:t>
      </w:r>
      <w:r>
        <w:t xml:space="preserve"> </w:t>
      </w:r>
    </w:p>
    <w:p w:rsidR="007F1EF5" w:rsidP="00C214F1" w:rsidRDefault="00C214F1">
      <w:pPr>
        <w:pStyle w:val="Heading2"/>
      </w:pPr>
      <w:r w:rsidRPr="009328C8">
        <w:t>AWARDS &amp; HONORS</w:t>
      </w:r>
    </w:p>
    <w:p w:rsidR="007F1EF5" w:rsidP="00C214F1" w:rsidRDefault="00C214F1">
      <w:pPr>
        <w:pStyle w:val="ListParagraph"/>
      </w:pPr>
      <w:r>
        <w:t>Ones to Watch, Best Lawyers®, Commercial Litigation, 2024-26, Real Estate Law, 2024-26; Construction Law, 2026; Corporate Law, 2026; Land Use and Zoning Law, 2026</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Expanding Intrigue of AI in Construction (Properties Magazine)</w:t>
      </w:r>
      <w:r>
        <w:t xml:space="preserve"> </w:t>
      </w:r>
    </w:p>
    <w:p w:rsidR="007F1EF5" w:rsidP="00C214F1" w:rsidRDefault="00C214F1">
      <w:pPr>
        <w:pStyle w:val="ListParagraph"/>
      </w:pPr>
      <w:r>
        <w:t>Environmental Obligations Hiding in Plain Sight (Properties Magazine)</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Arab American Bar Association of Ohio, Board Member and Founding Member</w:t>
      </w:r>
      <w:r>
        <w:t xml:space="preserve"> </w:t>
      </w:r>
    </w:p>
    <w:p w:rsidR="007F1EF5" w:rsidP="00C214F1" w:rsidRDefault="00C214F1">
      <w:pPr>
        <w:pStyle w:val="ListParagraph"/>
      </w:pPr>
      <w:r>
        <w:t>Cleveland Metropolitan Bar Association, Member</w:t>
      </w:r>
      <w:r>
        <w:t xml:space="preserve"> </w:t>
      </w:r>
    </w:p>
    <w:p w:rsidR="007F1EF5" w:rsidP="00C214F1" w:rsidRDefault="00C214F1">
      <w:pPr>
        <w:pStyle w:val="ListParagraph"/>
      </w:pPr>
      <w:r>
        <w:t>Norman S. Minor Bar Association, Member</w:t>
      </w:r>
      <w:r>
        <w:t xml:space="preserve"> </w:t>
      </w:r>
    </w:p>
    <w:p w:rsidR="007F1EF5" w:rsidP="00C214F1" w:rsidRDefault="00C214F1">
      <w:pPr>
        <w:pStyle w:val="Heading2"/>
      </w:pPr>
      <w:r w:rsidRPr="009328C8">
        <w:t>COMMUNITY INVOLVEMENT</w:t>
      </w:r>
    </w:p>
    <w:p w:rsidR="007F1EF5" w:rsidP="00C214F1" w:rsidRDefault="00C214F1">
      <w:pPr>
        <w:pStyle w:val="ListParagraph"/>
      </w:pPr>
      <w:r>
        <w:t>Arab Americans of Cleveland Young Professionals Network, Advisory Board 2021 – present</w:t>
      </w:r>
      <w:r>
        <w:t xml:space="preserve"> </w:t>
      </w:r>
    </w:p>
    <w:p w:rsidR="007F1EF5" w:rsidP="00C214F1" w:rsidRDefault="00C214F1">
      <w:pPr>
        <w:pStyle w:val="ListParagraph"/>
      </w:pPr>
      <w:r>
        <w:t>Urban Land Institute Cleveland Real Estate Diversity Initiative, 2023 Cohort</w:t>
      </w:r>
      <w:r>
        <w:t xml:space="preserve"> </w:t>
      </w:r>
    </w:p>
    <w:p w:rsidR="007F1EF5" w:rsidP="00C214F1" w:rsidRDefault="00C214F1">
      <w:pPr>
        <w:pStyle w:val="ListParagraph"/>
      </w:pPr>
      <w:r>
        <w:t>CMBA 3Rs Program, Committee Member &amp; Captain 2017-2020</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 Parks LLP, 2023 – present</w:t>
      </w:r>
      <w:r>
        <w:t xml:space="preserve"> </w:t>
      </w:r>
    </w:p>
    <w:p w:rsidR="007F1EF5" w:rsidP="00C214F1" w:rsidRDefault="00C214F1">
      <w:pPr>
        <w:pStyle w:val="ListParagraph"/>
      </w:pPr>
      <w:r>
        <w:t>Associate, Mansour Gavin, LPA, 2020-2023</w:t>
      </w:r>
      <w:r>
        <w:t xml:space="preserve"> </w:t>
      </w:r>
    </w:p>
    <w:p w:rsidR="007F1EF5" w:rsidP="00C214F1" w:rsidRDefault="00C214F1">
      <w:pPr>
        <w:pStyle w:val="ListParagraph"/>
      </w:pPr>
      <w:r>
        <w:t>Law Clerk, Mansour Gavin, LPA, 2019-2020</w:t>
      </w:r>
      <w:r>
        <w:t xml:space="preserve"> </w:t>
      </w:r>
    </w:p>
    <w:p w:rsidR="007F1EF5" w:rsidP="00C214F1" w:rsidRDefault="00C214F1">
      <w:pPr>
        <w:pStyle w:val="ListParagraph"/>
      </w:pPr>
      <w:r>
        <w:t>Law Clerk, Office of the United States Attorney-Civil Division, Fall 2018</w:t>
      </w:r>
      <w:r>
        <w:t xml:space="preserve"> </w:t>
      </w:r>
    </w:p>
    <w:p w:rsidR="007F1EF5" w:rsidP="00C214F1" w:rsidRDefault="00C214F1">
      <w:pPr>
        <w:pStyle w:val="ListParagraph"/>
      </w:pPr>
      <w:r>
        <w:t>Law Clerk, The Chandra Law Firm, Summer 2018</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