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59"/>
        <w:gridCol w:w="2875"/>
      </w:tblGrid>
      <w:tr w:rsidR="00781D57" w14:paraId="1E336079" w14:textId="77777777" w:rsidTr="00093AF1">
        <w:tc>
          <w:tcPr>
            <w:tcW w:w="3116" w:type="dxa"/>
            <w:vMerge w:val="restart"/>
          </w:tcPr>
          <w:p w14:paraId="783BAFB5" w14:textId="6D1AE821" w:rsidR="00781D57" w:rsidRDefault="00093AF1" w:rsidP="00093AF1">
            <w:pPr>
              <w:pStyle w:val="BulletedList"/>
              <w:numPr>
                <w:ilvl w:val="0"/>
                <w:numId w:val="0"/>
              </w:numPr>
            </w:pPr>
            <w:bookmarkStart w:id="0" w:name="_GoBack"/>
            <w:bookmarkEnd w:id="0"/>
            <w:r>
              <w:rPr>
                <w:noProof/>
              </w:rPr>
              <w:t/>
              <w:pict>
                <v:shape type="#_x0000_t75" style="width:192px;height:192px" stroked="f">
                  <v:imagedata r:id="rId11" o:title=""/>
                </v:shape>
              </w:pict>
              <w:t/>
            </w:r>
          </w:p>
        </w:tc>
        <w:tc>
          <w:tcPr>
            <w:tcW w:w="6234" w:type="dxa"/>
            <w:gridSpan w:val="2"/>
            <w:vAlign w:val="bottom"/>
          </w:tcPr>
          <w:p w14:paraId="45E2E7CF" w14:textId="77777777" w:rsidR="00781D57" w:rsidRDefault="00781D57" w:rsidP="00781D57">
            <w:pPr>
              <w:pStyle w:val="PersonName"/>
            </w:pPr>
            <w:r>
              <w:t>Lindsay J. Mertens</w:t>
            </w:r>
          </w:p>
          <w:p w14:paraId="721B5907" w14:textId="2CE3BDC0" w:rsidR="00781D57" w:rsidRDefault="00781D57" w:rsidP="00781D57">
            <w:pPr>
              <w:pStyle w:val="PersonTitle"/>
            </w:pPr>
            <w:r>
              <w:t>Of Counsel</w:t>
            </w:r>
          </w:p>
        </w:tc>
      </w:tr>
      <w:tr w:rsidR="00781D57" w14:paraId="09E547C5" w14:textId="77777777" w:rsidTr="00093AF1">
        <w:tc>
          <w:tcPr>
            <w:tcW w:w="3116" w:type="dxa"/>
            <w:vMerge/>
          </w:tcPr>
          <w:p w14:paraId="3408D068" w14:textId="77777777" w:rsidR="00781D57" w:rsidRDefault="00781D57"/>
        </w:tc>
        <w:tc>
          <w:tcPr>
            <w:tcW w:w="3359" w:type="dxa"/>
          </w:tcPr>
          <w:p w14:paraId="51300670" w14:textId="02FED012" w:rsidR="00781D57" w:rsidRDefault="00781D57" w:rsidP="00781D57">
            <w:r>
              <w:rPr>
                <w:color w:val="337CB4"/>
              </w:rPr>
              <w:t xml:space="preserve">phone</w:t>
            </w:r>
            <w:r>
              <w:rPr/>
              <w:t xml:space="preserve"> 619.810.4378</w:t>
            </w:r>
            <w:br/>
            <w:r>
              <w:rPr>
                <w:color w:val="337CB4"/>
              </w:rPr>
              <w:t xml:space="preserve">email </w:t>
            </w:r>
            <w:r>
              <w:rPr/>
              <w:t xml:space="preserve"> lmertens@hahnlaw.com</w:t>
            </w:r>
          </w:p>
        </w:tc>
        <w:tc>
          <w:tcPr>
            <w:tcW w:w="2875" w:type="dxa"/>
          </w:tcPr>
          <w:p w14:paraId="3A73DCAA" w14:textId="4B7BD9BB" w:rsidR="00781D57" w:rsidRPr="00781D57" w:rsidRDefault="00781D57">
            <w:pPr>
              <w:rPr>
                <w:color w:val="337CB4"/>
              </w:rPr>
            </w:pPr>
            <w:r>
              <w:rPr>
                <w:color w:val="337CB4"/>
              </w:rPr>
              <w:t xml:space="preserve">Hahn Loeser &amp; Parks LLP</w:t>
            </w:r>
            <w:r>
              <w:rPr/>
              <w:t xml:space="preserve">
                <w:br/>
              </w:t>
            </w:r>
            <w:r>
              <w:rPr/>
              <w:t xml:space="preserve">600 West Broadway</w:t>
            </w:r>
            <w:r>
              <w:rPr/>
              <w:t xml:space="preserve">
                <w:br/>
              </w:t>
            </w:r>
            <w:r>
              <w:rPr/>
              <w:t xml:space="preserve">Suite 1500</w:t>
            </w:r>
            <w:r>
              <w:rPr/>
              <w:t xml:space="preserve">
                <w:br/>
              </w:t>
            </w:r>
            <w:r>
              <w:rPr/>
              <w:t xml:space="preserve">San Diego, California 92101</w:t>
            </w:r>
            <w:r>
              <w:rPr/>
              <w:t xml:space="preserve">
                <w:br/>
              </w:t>
            </w:r>
          </w:p>
        </w:tc>
      </w:tr>
    </w:tbl>
    <w:tbl>
      <w:tblPr>
        <w:tblStyle w:val="TableGrid"/>
        <w:tblpPr w:leftFromText="187" w:rightFromText="187" w:bottomFromText="180" w:vertAnchor="text" w:horzAnchor="margin" w:tblpY="30"/>
        <w:tblW w:w="0" w:type="auto"/>
        <w:tblBorders>
          <w:top w:val="single" w:sz="4" w:space="0" w:color="337CB4"/>
          <w:left w:val="none" w:sz="0" w:space="0" w:color="auto"/>
          <w:bottom w:val="single" w:sz="4" w:space="0" w:color="337CB4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90" w:type="dxa"/>
          <w:left w:w="187" w:type="dxa"/>
          <w:bottom w:w="90" w:type="dxa"/>
          <w:right w:w="187" w:type="dxa"/>
        </w:tblCellMar>
        <w:tblLook w:val="04A0" w:firstRow="1" w:lastRow="0" w:firstColumn="1" w:lastColumn="0" w:noHBand="0" w:noVBand="1"/>
      </w:tblPr>
      <w:tblGrid>
        <w:gridCol w:w="9360"/>
      </w:tblGrid>
      <w:tr w:rsidR="00211CDD" w14:paraId="5BC8BDDD" w14:textId="77777777" w:rsidTr="00847613">
        <w:tc>
          <w:tcPr>
            <w:tcW w:w="9360" w:type="dxa"/>
            <w:shd w:val="clear" w:color="auto" w:fill="auto"/>
          </w:tcPr>
          <w:p w14:paraId="2ED30C85" w14:textId="77777777" w:rsidR="00211CDD" w:rsidRPr="00C32972" w:rsidRDefault="00211CDD" w:rsidP="00847613">
            <w:pPr>
              <w:pStyle w:val="PracticesTitle"/>
              <w:framePr w:hSpace="0" w:wrap="auto" w:vAnchor="margin" w:hAnchor="text" w:yAlign="inline"/>
            </w:pPr>
            <w:r w:rsidRPr="00C32972">
              <w:t>PRIMARY PRACTICES</w:t>
            </w:r>
          </w:p>
          <w:p w14:paraId="719427D3" w14:textId="77777777" w:rsidR="00211CDD" w:rsidRDefault="00211CDD" w:rsidP="00847613">
            <w:r>
              <w:t>Litigation, Complex Commercial Litigation</w:t>
            </w:r>
          </w:p>
        </w:tc>
      </w:tr>
    </w:tbl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Lindsay J. Mertens focuses her practice in all phases of complex litigation. Her litigation experience includes discovery, motion practice and appeals. Lindsay has resolved a broad range of litigation matters through trial, summary judgment and settlement.</w:t>
            </w:r>
          </w:p>
        </w:tc>
      </w:tr>
    </w:tbl>
    <w:p w14:paraId="11BF6E3F" w14:textId="219D0FDB" w:rsidR="00FC0ED6" w:rsidRPr="00F177A2" w:rsidRDefault="00CE6A9F" w:rsidP="00F177A2">
      <w:pPr>
        <w:shd w:val="clear" w:color="auto" w:fill="FFFFFF"/>
        <w:spacing w:after="0" w:line="285" w:lineRule="atLeast"/>
        <w:rPr>
          <w:rFonts w:eastAsia="Times New Roman"/>
          <w:kern w:val="0"/>
          <w:sz w:val="21"/>
          <w:szCs w:val="21"/>
          <w14:ligatures w14:val="none"/>
        </w:rPr>
      </w:pPr>
      <w:r>
        <w:rPr>
          <w:rFonts w:eastAsia="Times New Roman"/>
          <w:kern w:val="0"/>
          <w:sz w:val="21"/>
          <w:szCs w:val="21"/>
          <w14:ligatures w14:val="none"/>
        </w:rPr>
        <w:t/>
      </w:r>
    </w:p>
    <w:p w:rsidR="007F1EF5" w:rsidP="00C214F1" w:rsidRDefault="00C214F1">
      <w:pPr>
        <w:pStyle w:val="Heading2"/>
      </w:pPr>
      <w:r w:rsidRPr="009328C8">
        <w:t>BAR ADMISSIONS</w:t>
      </w:r>
    </w:p>
    <w:p w:rsidR="007F1EF5" w:rsidP="00C214F1" w:rsidRDefault="00C214F1">
      <w:pPr>
        <w:pStyle w:val="ListParagraph"/>
      </w:pPr>
      <w:r>
        <w:t>State of California, 2007</w:t>
      </w:r>
      <w:r>
        <w:t xml:space="preserve"> </w:t>
      </w:r>
    </w:p>
    <w:p w:rsidR="007F1EF5" w:rsidP="00C214F1" w:rsidRDefault="00C214F1">
      <w:pPr>
        <w:pStyle w:val="ListParagraph"/>
      </w:pPr>
      <w:r>
        <w:t>U.S. District Courts for the Southern, Eastern, and Central Districts of California</w:t>
      </w:r>
      <w:r>
        <w:t xml:space="preserve"> </w:t>
      </w:r>
    </w:p>
    <w:p w:rsidR="007F1EF5" w:rsidP="00C214F1" w:rsidRDefault="00C214F1">
      <w:pPr>
        <w:pStyle w:val="ListParagraph"/>
      </w:pPr>
      <w:r>
        <w:t>U.S. Court of Appeals for the Ninth Circuit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EDUCATION</w:t>
      </w:r>
    </w:p>
    <w:p w:rsidR="007F1EF5" w:rsidP="00C214F1" w:rsidRDefault="00C214F1">
      <w:pPr>
        <w:pStyle w:val="ListParagraph"/>
      </w:pPr>
      <w:r>
        <w:t>University of San Diego School of Law, J.D., Top 20%, 2007</w:t>
      </w:r>
      <w:r>
        <w:t xml:space="preserve"> </w:t>
      </w:r>
    </w:p>
    <w:p w:rsidR="007F1EF5" w:rsidP="00C214F1" w:rsidRDefault="00C214F1">
      <w:pPr>
        <w:ind w:left="705"/>
      </w:pPr>
      <w:r>
        <w:t>Appellate Moot Court Program, Vice Chair; McLennon Honors Moot Court Competition; The Kroha Family Scholarship for Academic Achievement, Recipient; Attended Institute on International and Comparative Law, Florence and Oxford, Summer 2005</w:t>
      </w:r>
      <w:r>
        <w:t xml:space="preserve"> </w:t>
      </w:r>
    </w:p>
    <w:p w:rsidR="007F1EF5" w:rsidP="00C214F1" w:rsidRDefault="00C214F1">
      <w:pPr>
        <w:pStyle w:val="ListParagraph"/>
      </w:pPr>
      <w:r>
        <w:t>Pepperdine University, B.A., </w:t>
      </w:r>
      <w:r>
        <w:t xml:space="preserve"> </w:t>
      </w:r>
      <w:r>
        <w:rPr>
          <w:i/>
        </w:rPr>
        <w:t>cum laude</w:t>
      </w:r>
      <w:r>
        <w:t xml:space="preserve"> </w:t>
      </w:r>
      <w:r>
        <w:t>, International Studies, 2003</w:t>
      </w:r>
      <w:r>
        <w:t xml:space="preserve"> </w:t>
      </w:r>
    </w:p>
    <w:p w:rsidR="007F1EF5" w:rsidP="00C214F1" w:rsidRDefault="00C214F1">
      <w:pPr>
        <w:ind w:left="705"/>
      </w:pPr>
      <w:r>
        <w:t>Golden Key International Honors Society; German Honor Society; History Honor Society; International Studies Honor Society; Delta Gamma Fraternity; Study Abroad, Humanities and German, Heidelberg, Germany, 2000 &amp; ­2001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AWARDS &amp; HONORS</w:t>
      </w:r>
    </w:p>
    <w:p w:rsidR="007F1EF5" w:rsidP="00C214F1" w:rsidRDefault="00C214F1">
      <w:pPr>
        <w:pStyle w:val="ListParagraph"/>
      </w:pPr>
      <w:r>
        <w:t>Ones to Watch, Best Lawyers®, Commercial Litigation, 2024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MEMBERSHIPS &amp; AFFILIATIONS</w:t>
      </w:r>
    </w:p>
    <w:p w:rsidR="007F1EF5" w:rsidP="00C214F1" w:rsidRDefault="00C214F1">
      <w:pPr>
        <w:pStyle w:val="ListParagraph"/>
      </w:pPr>
      <w:r>
        <w:t>Legal Aid Society of San Diego, Board of Directors</w:t>
      </w:r>
      <w:r>
        <w:t xml:space="preserve"> </w:t>
      </w:r>
    </w:p>
    <w:p w:rsidR="007F1EF5" w:rsidP="00C214F1" w:rsidRDefault="00C214F1">
      <w:pPr>
        <w:pStyle w:val="ListParagraph"/>
      </w:pPr>
      <w:r>
        <w:t>California Bar Association, Member</w:t>
      </w:r>
      <w:r>
        <w:t xml:space="preserve"> </w:t>
      </w:r>
    </w:p>
    <w:p w:rsidR="007F1EF5" w:rsidP="00C214F1" w:rsidRDefault="00C214F1">
      <w:pPr>
        <w:pStyle w:val="ListParagraph"/>
      </w:pPr>
      <w:r>
        <w:t>San Diego County Bar Association, Member</w:t>
      </w:r>
      <w:r>
        <w:t xml:space="preserve"> </w:t>
      </w:r>
    </w:p>
    <w:p w:rsidR="007F1EF5" w:rsidP="00C214F1" w:rsidRDefault="00C214F1">
      <w:pPr>
        <w:pStyle w:val="ListParagraph"/>
      </w:pPr>
      <w:r>
        <w:t>Women’s Resource Fair (sponsored by the San Diego Volunteer Lawyer’s Program), Social Services Co-Chair</w:t>
      </w:r>
      <w:r>
        <w:t xml:space="preserve"> </w:t>
      </w:r>
    </w:p>
    <w:p w:rsidR="007F1EF5" w:rsidP="00C214F1" w:rsidRDefault="00C214F1">
      <w:pPr>
        <w:pStyle w:val="Heading2"/>
      </w:pPr>
      <w:r w:rsidRPr="009328C8">
        <w:t>Professional History</w:t>
      </w:r>
    </w:p>
    <w:p w:rsidR="007F1EF5" w:rsidP="00C214F1" w:rsidRDefault="00C214F1">
      <w:pPr>
        <w:pStyle w:val="ListParagraph"/>
      </w:pPr>
      <w:r>
        <w:t>Of Counsel, Hahn Loeser &amp; Parks LLP, 2022-present; Associate, 2012-2022; Member, Recruiting Committee, 2014-present</w:t>
      </w:r>
      <w:r>
        <w:t xml:space="preserve"> </w:t>
      </w:r>
    </w:p>
    <w:p w:rsidR="007F1EF5" w:rsidP="00C214F1" w:rsidRDefault="00C214F1">
      <w:pPr>
        <w:pStyle w:val="ListParagraph"/>
      </w:pPr>
      <w:r>
        <w:t>Associate, Morris Polich and Purdy, 2011-12</w:t>
      </w:r>
      <w:r>
        <w:t xml:space="preserve"> </w:t>
      </w:r>
    </w:p>
    <w:p w:rsidR="007F1EF5" w:rsidP="00C214F1" w:rsidRDefault="00C214F1">
      <w:pPr>
        <w:pStyle w:val="ListParagraph"/>
      </w:pPr>
      <w:r>
        <w:t>Associate, Hulett Harper Stewart, 2007-11</w:t>
      </w:r>
      <w:r>
        <w:t xml:space="preserve"> </w:t>
      </w:r>
    </w:p>
    <w:p w:rsidR="007F1EF5" w:rsidP="00C214F1" w:rsidRDefault="00C214F1">
      <w:pPr>
        <w:pStyle w:val="ListParagraph"/>
      </w:pPr>
      <w:r>
        <w:t>Law Clerk and Post-Bar Contract Attorney, Belsky &amp; Associates, 2006-07</w:t>
      </w:r>
      <w:r>
        <w:t xml:space="preserve"> </w:t>
      </w:r>
    </w:p>
    <w:p w:rsidR="007F1EF5" w:rsidP="00C214F1" w:rsidRDefault="00C214F1">
      <w:pPr>
        <w:pStyle w:val="ListParagraph"/>
      </w:pPr>
      <w:r>
        <w:t>Intern, Center for Public Interest Law, 2005-06</w:t>
      </w:r>
      <w:r>
        <w:t xml:space="preserve"> </w:t>
      </w:r>
    </w:p>
    <w:p>
      <w:r>
        <w:t/>
      </w:r>
    </w:p>
    <w:sectPr w:rsidR="00FC0ED6" w:rsidRPr="00F177A2" w:rsidSect="00A00570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BB9BA" w14:textId="77777777" w:rsidR="007E7B21" w:rsidRDefault="007E7B21" w:rsidP="00A00570">
      <w:pPr>
        <w:spacing w:before="0" w:after="0" w:line="240" w:lineRule="auto"/>
      </w:pPr>
      <w:r>
        <w:separator/>
      </w:r>
    </w:p>
  </w:endnote>
  <w:endnote w:type="continuationSeparator" w:id="0">
    <w:p w14:paraId="6317653D" w14:textId="77777777" w:rsidR="007E7B21" w:rsidRDefault="007E7B21" w:rsidP="00A005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 Gothic LT Std Extended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HaasGroteskText Pro"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NHaasGroteskTXStd-55Rg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HaasGroteskTXStd-75B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GroteskText Std">
    <w:altName w:val="Calibri"/>
    <w:charset w:val="00"/>
    <w:family w:val="auto"/>
    <w:pitch w:val="variable"/>
    <w:sig w:usb0="00000007" w:usb1="00000000" w:usb2="00000000" w:usb3="00000000" w:csb0="00000093" w:csb1="00000000"/>
  </w:font>
  <w:font w:name="Montserrat Light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Montserrat" w:hAnsi="Montserrat"/>
        <w:color w:val="7F7F7F" w:themeColor="text1" w:themeTint="80"/>
        <w:sz w:val="16"/>
        <w:szCs w:val="16"/>
      </w:rPr>
      <w:id w:val="-9609567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A50CE" w14:textId="47343709" w:rsidR="00A00570" w:rsidRPr="00A00570" w:rsidRDefault="00A00570" w:rsidP="00A00570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0A768BF5" wp14:editId="3F88F120">
              <wp:extent cx="5957342" cy="307175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7342" cy="3071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begin"/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instrText xml:space="preserve"> PAGE </w:instrText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separate"/>
        </w:r>
        <w:r w:rsidR="00592D6D">
          <w:rPr>
            <w:rStyle w:val="PageNumber"/>
            <w:rFonts w:ascii="Montserrat" w:hAnsi="Montserrat"/>
            <w:noProof/>
            <w:color w:val="7F7F7F" w:themeColor="text1" w:themeTint="80"/>
            <w:sz w:val="16"/>
            <w:szCs w:val="16"/>
          </w:rPr>
          <w:t>1</w:t>
        </w:r>
        <w:r w:rsidRPr="00512713">
          <w:rPr>
            <w:rStyle w:val="PageNumber"/>
            <w:rFonts w:ascii="Montserrat" w:hAnsi="Montserrat"/>
            <w:color w:val="7F7F7F" w:themeColor="text1" w:themeTint="80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7B30C" w14:textId="77777777" w:rsidR="007E7B21" w:rsidRDefault="007E7B21" w:rsidP="00A00570">
      <w:pPr>
        <w:spacing w:before="0" w:after="0" w:line="240" w:lineRule="auto"/>
      </w:pPr>
      <w:r>
        <w:separator/>
      </w:r>
    </w:p>
  </w:footnote>
  <w:footnote w:type="continuationSeparator" w:id="0">
    <w:p w14:paraId="7476CC9C" w14:textId="77777777" w:rsidR="007E7B21" w:rsidRDefault="007E7B21" w:rsidP="00A005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B357" w14:textId="25691551" w:rsidR="00A00570" w:rsidRPr="00A00570" w:rsidRDefault="00A00570" w:rsidP="00A00570">
    <w:pPr>
      <w:pStyle w:val="Header"/>
    </w:pPr>
    <w:r>
      <w:rPr>
        <w:noProof/>
      </w:rPr>
      <w:drawing>
        <wp:inline distT="0" distB="0" distL="0" distR="0" wp14:anchorId="3ECF83A8" wp14:editId="39FAA930">
          <wp:extent cx="5939327" cy="58128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189" cy="643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805"/>
    <w:multiLevelType w:val="multilevel"/>
    <w:tmpl w:val="D6446A8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A1D00"/>
    <w:multiLevelType w:val="hybridMultilevel"/>
    <w:tmpl w:val="5C3CD966"/>
    <w:lvl w:ilvl="0" w:tplc="BC8E081E">
      <w:start w:val="1"/>
      <w:numFmt w:val="bullet"/>
      <w:pStyle w:val="ListParagraph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A"/>
    <w:rsid w:val="0004272B"/>
    <w:rsid w:val="00093AF1"/>
    <w:rsid w:val="00095BB5"/>
    <w:rsid w:val="000B345A"/>
    <w:rsid w:val="00112C19"/>
    <w:rsid w:val="00133875"/>
    <w:rsid w:val="001A5F62"/>
    <w:rsid w:val="001C2973"/>
    <w:rsid w:val="001F6323"/>
    <w:rsid w:val="001F758B"/>
    <w:rsid w:val="00211CDD"/>
    <w:rsid w:val="002213C0"/>
    <w:rsid w:val="00243CAE"/>
    <w:rsid w:val="00274766"/>
    <w:rsid w:val="002A7A88"/>
    <w:rsid w:val="002C21CE"/>
    <w:rsid w:val="002F23FD"/>
    <w:rsid w:val="002F420F"/>
    <w:rsid w:val="00342C37"/>
    <w:rsid w:val="003702AC"/>
    <w:rsid w:val="0039743E"/>
    <w:rsid w:val="003A4BEA"/>
    <w:rsid w:val="003B7D03"/>
    <w:rsid w:val="003D542C"/>
    <w:rsid w:val="003E7632"/>
    <w:rsid w:val="0040559F"/>
    <w:rsid w:val="00444FE2"/>
    <w:rsid w:val="00467BBA"/>
    <w:rsid w:val="00475A1E"/>
    <w:rsid w:val="0049417A"/>
    <w:rsid w:val="004A3317"/>
    <w:rsid w:val="004F31AE"/>
    <w:rsid w:val="005031BA"/>
    <w:rsid w:val="00592D6D"/>
    <w:rsid w:val="005C18D3"/>
    <w:rsid w:val="005E1357"/>
    <w:rsid w:val="00621038"/>
    <w:rsid w:val="00637653"/>
    <w:rsid w:val="006553FF"/>
    <w:rsid w:val="006C5BA6"/>
    <w:rsid w:val="00704438"/>
    <w:rsid w:val="00781D57"/>
    <w:rsid w:val="00782D8B"/>
    <w:rsid w:val="007979A7"/>
    <w:rsid w:val="00797C0A"/>
    <w:rsid w:val="007D1EF8"/>
    <w:rsid w:val="007D3340"/>
    <w:rsid w:val="007D4329"/>
    <w:rsid w:val="007E7B21"/>
    <w:rsid w:val="00810D19"/>
    <w:rsid w:val="00841794"/>
    <w:rsid w:val="0087542C"/>
    <w:rsid w:val="0088641A"/>
    <w:rsid w:val="008B4C7A"/>
    <w:rsid w:val="008B6E5A"/>
    <w:rsid w:val="00905037"/>
    <w:rsid w:val="00913D18"/>
    <w:rsid w:val="00982584"/>
    <w:rsid w:val="00985E05"/>
    <w:rsid w:val="009A7A13"/>
    <w:rsid w:val="00A00570"/>
    <w:rsid w:val="00A2363A"/>
    <w:rsid w:val="00A602F1"/>
    <w:rsid w:val="00A72779"/>
    <w:rsid w:val="00A82D14"/>
    <w:rsid w:val="00AA6109"/>
    <w:rsid w:val="00B0465E"/>
    <w:rsid w:val="00B150A8"/>
    <w:rsid w:val="00B750C5"/>
    <w:rsid w:val="00BF330A"/>
    <w:rsid w:val="00C22AB9"/>
    <w:rsid w:val="00C31D61"/>
    <w:rsid w:val="00C4115A"/>
    <w:rsid w:val="00C507C6"/>
    <w:rsid w:val="00C661E5"/>
    <w:rsid w:val="00C824E4"/>
    <w:rsid w:val="00CB50A7"/>
    <w:rsid w:val="00CE6A9F"/>
    <w:rsid w:val="00D6515C"/>
    <w:rsid w:val="00D93D2F"/>
    <w:rsid w:val="00D94679"/>
    <w:rsid w:val="00DC72BF"/>
    <w:rsid w:val="00DF30DE"/>
    <w:rsid w:val="00E753AF"/>
    <w:rsid w:val="00E81CF7"/>
    <w:rsid w:val="00EB0470"/>
    <w:rsid w:val="00EB590F"/>
    <w:rsid w:val="00F02DAF"/>
    <w:rsid w:val="00F177A2"/>
    <w:rsid w:val="00FC0ED6"/>
    <w:rsid w:val="00FC22F1"/>
    <w:rsid w:val="00FC4912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3943"/>
  <w15:chartTrackingRefBased/>
  <w15:docId w15:val="{D82A6568-C347-4E15-99BC-65B36F4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EA"/>
    <w:pPr>
      <w:spacing w:before="80" w:after="220" w:line="280" w:lineRule="atLeast"/>
    </w:pPr>
    <w:rPr>
      <w:rFonts w:ascii="Georgia" w:hAnsi="Georgia" w:cs="Times New Roman"/>
      <w:color w:val="000000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BEA"/>
    <w:pPr>
      <w:keepNext/>
      <w:keepLines/>
      <w:spacing w:before="360" w:after="120" w:line="240" w:lineRule="auto"/>
      <w:outlineLvl w:val="0"/>
    </w:pPr>
    <w:rPr>
      <w:rFonts w:ascii="Trade Gothic LT Std Extended" w:eastAsiaTheme="majorEastAsia" w:hAnsi="Trade Gothic LT Std Extended" w:cs="Times New Roman (Headings CS)"/>
      <w:caps/>
      <w:color w:val="337CB4"/>
      <w:sz w:val="3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D18"/>
    <w:pPr>
      <w:spacing w:before="320" w:after="0"/>
      <w:outlineLvl w:val="1"/>
    </w:pPr>
    <w:rPr>
      <w:rFonts w:ascii="Trade Gothic LT Std Extended" w:hAnsi="Trade Gothic LT Std Extended" w:cs="Times New Roman (Body CS)"/>
      <w:bCs/>
      <w:caps/>
      <w:color w:val="DD5016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A4BEA"/>
    <w:pPr>
      <w:outlineLvl w:val="2"/>
    </w:pPr>
    <w:rPr>
      <w:bCs/>
      <w:color w:val="DD5016"/>
      <w:sz w:val="22"/>
      <w:szCs w:val="22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A4BEA"/>
    <w:pPr>
      <w:spacing w:before="320"/>
      <w:outlineLvl w:val="3"/>
    </w:pPr>
    <w:rPr>
      <w:bCs/>
      <w:color w:val="DD5016"/>
      <w:sz w:val="20"/>
      <w:szCs w:val="20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3A4BEA"/>
    <w:pPr>
      <w:outlineLvl w:val="4"/>
    </w:pPr>
    <w:rPr>
      <w:color w:val="DD5016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A4BEA"/>
    <w:pPr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BEA"/>
    <w:rPr>
      <w:rFonts w:ascii="Trade Gothic LT Std Extended" w:eastAsiaTheme="majorEastAsia" w:hAnsi="Trade Gothic LT Std Extended" w:cs="Times New Roman (Headings CS)"/>
      <w:caps/>
      <w:color w:val="337CB4"/>
      <w:sz w:val="3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3D18"/>
    <w:rPr>
      <w:rFonts w:ascii="Trade Gothic LT Std Extended" w:hAnsi="Trade Gothic LT Std Extended" w:cs="Times New Roman (Body CS)"/>
      <w:bCs/>
      <w:caps/>
      <w:color w:val="DD501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A4BEA"/>
    <w:rPr>
      <w:rFonts w:ascii="Trade Gothic LT Std Extended" w:eastAsiaTheme="majorEastAsia" w:hAnsi="Trade Gothic LT Std Extended" w:cs="Times New Roman (Headings CS)"/>
      <w:bCs/>
      <w:caps/>
      <w:color w:val="DD501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A4BEA"/>
    <w:rPr>
      <w:rFonts w:ascii="Trade Gothic LT Std Extended" w:eastAsiaTheme="majorEastAsia" w:hAnsi="Trade Gothic LT Std Extended" w:cs="Times New Roman (Headings CS)"/>
      <w:bCs/>
      <w:caps/>
      <w:color w:val="DD501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A4BEA"/>
    <w:rPr>
      <w:rFonts w:ascii="Trade Gothic LT Std Extended" w:eastAsiaTheme="majorEastAsia" w:hAnsi="Trade Gothic LT Std Extended" w:cs="Times New Roman (Headings CS)"/>
      <w:caps/>
      <w:color w:val="DD501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A4BEA"/>
    <w:rPr>
      <w:rFonts w:ascii="Trade Gothic LT Std Extended" w:eastAsiaTheme="majorEastAsia" w:hAnsi="Trade Gothic LT Std Extended" w:cs="Times New Roman (Headings CS)"/>
      <w:b/>
      <w:bCs/>
      <w:caps/>
      <w:color w:val="DD501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BEA"/>
    <w:pPr>
      <w:numPr>
        <w:numId w:val="3"/>
      </w:numPr>
      <w:spacing w:before="0" w:after="120"/>
    </w:pPr>
  </w:style>
  <w:style w:type="character" w:styleId="IntenseEmphasis">
    <w:name w:val="Intense Emphasis"/>
    <w:basedOn w:val="DefaultParagraphFont"/>
    <w:uiPriority w:val="21"/>
    <w:qFormat/>
    <w:rsid w:val="00C41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15A"/>
    <w:rPr>
      <w:b/>
      <w:bCs/>
      <w:smallCaps/>
      <w:color w:val="0F4761" w:themeColor="accent1" w:themeShade="BF"/>
      <w:spacing w:val="5"/>
    </w:rPr>
  </w:style>
  <w:style w:type="paragraph" w:customStyle="1" w:styleId="Coverwithline">
    <w:name w:val="Cover with line"/>
    <w:rsid w:val="003A4BEA"/>
    <w:pPr>
      <w:widowControl w:val="0"/>
      <w:autoSpaceDE w:val="0"/>
      <w:autoSpaceDN w:val="0"/>
      <w:adjustRightInd w:val="0"/>
      <w:spacing w:after="0" w:line="264" w:lineRule="auto"/>
    </w:pPr>
    <w:rPr>
      <w:rFonts w:ascii="NeueHaasGroteskText Pro" w:eastAsiaTheme="minorEastAsia" w:hAnsi="NeueHaasGroteskText Pro" w:cs="NHaasGroteskTXStd-55Rg"/>
      <w:color w:val="000000"/>
      <w:kern w:val="0"/>
      <w:sz w:val="26"/>
      <w:lang w:eastAsia="ja-JP"/>
      <w14:ligatures w14:val="none"/>
    </w:rPr>
  </w:style>
  <w:style w:type="paragraph" w:customStyle="1" w:styleId="1ptrule">
    <w:name w:val="1pt rule"/>
    <w:basedOn w:val="Coverwithline"/>
    <w:rsid w:val="003A4BEA"/>
    <w:pPr>
      <w:pBdr>
        <w:bottom w:val="single" w:sz="2" w:space="1" w:color="auto"/>
      </w:pBdr>
      <w:spacing w:after="200"/>
    </w:pPr>
    <w:rPr>
      <w:sz w:val="12"/>
    </w:rPr>
  </w:style>
  <w:style w:type="paragraph" w:customStyle="1" w:styleId="Coverbold">
    <w:name w:val="Cover bold"/>
    <w:rsid w:val="003A4BEA"/>
    <w:pPr>
      <w:widowControl w:val="0"/>
      <w:autoSpaceDE w:val="0"/>
      <w:autoSpaceDN w:val="0"/>
      <w:adjustRightInd w:val="0"/>
      <w:spacing w:after="0" w:line="264" w:lineRule="auto"/>
    </w:pPr>
    <w:rPr>
      <w:rFonts w:ascii="NeueHaasGroteskText Pro" w:eastAsiaTheme="minorEastAsia" w:hAnsi="NeueHaasGroteskText Pro" w:cs="NHaasGroteskTXStd-75Bd"/>
      <w:b/>
      <w:color w:val="000000"/>
      <w:spacing w:val="-5"/>
      <w:kern w:val="0"/>
      <w:sz w:val="26"/>
      <w:szCs w:val="28"/>
      <w:lang w:eastAsia="ja-JP"/>
      <w14:ligatures w14:val="none"/>
    </w:rPr>
  </w:style>
  <w:style w:type="paragraph" w:customStyle="1" w:styleId="Covertext">
    <w:name w:val="Cover text"/>
    <w:rsid w:val="003A4BEA"/>
    <w:pPr>
      <w:spacing w:after="0" w:line="264" w:lineRule="auto"/>
    </w:pPr>
    <w:rPr>
      <w:rFonts w:ascii="NeueHaasGroteskText Std" w:eastAsiaTheme="minorEastAsia" w:hAnsi="NeueHaasGroteskText Std" w:cs="NHaasGroteskTXStd-55Rg"/>
      <w:color w:val="000000"/>
      <w:kern w:val="0"/>
      <w:sz w:val="26"/>
      <w:lang w:eastAsia="ja-JP"/>
      <w14:ligatures w14:val="none"/>
    </w:rPr>
  </w:style>
  <w:style w:type="numbering" w:customStyle="1" w:styleId="CurrentList1">
    <w:name w:val="Current List1"/>
    <w:uiPriority w:val="99"/>
    <w:rsid w:val="003A4BEA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3A4BE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A4BEA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4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EA"/>
    <w:rPr>
      <w:rFonts w:ascii="Georgia" w:hAnsi="Georgia" w:cs="Times New Roman"/>
      <w:color w:val="000000"/>
      <w:sz w:val="20"/>
      <w:szCs w:val="22"/>
    </w:rPr>
  </w:style>
  <w:style w:type="paragraph" w:customStyle="1" w:styleId="H1AboveHeroImage">
    <w:name w:val="H1 Above Hero Image"/>
    <w:basedOn w:val="Heading1"/>
    <w:qFormat/>
    <w:rsid w:val="003A4BEA"/>
    <w:pPr>
      <w:spacing w:before="1200"/>
      <w:ind w:left="360"/>
    </w:pPr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3A4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EA"/>
    <w:rPr>
      <w:rFonts w:ascii="Georgia" w:hAnsi="Georgia" w:cs="Times New Roman"/>
      <w:color w:val="000000"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A4BE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3A4BEA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4BEA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4BEA"/>
    <w:pPr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A4BEA"/>
  </w:style>
  <w:style w:type="paragraph" w:customStyle="1" w:styleId="PersonName">
    <w:name w:val="Person Name"/>
    <w:basedOn w:val="Heading1"/>
    <w:qFormat/>
    <w:rsid w:val="003A4BEA"/>
    <w:pPr>
      <w:spacing w:before="600" w:after="0"/>
    </w:pPr>
    <w:rPr>
      <w:b/>
    </w:rPr>
  </w:style>
  <w:style w:type="paragraph" w:customStyle="1" w:styleId="PersonTitle">
    <w:name w:val="Person Title"/>
    <w:qFormat/>
    <w:rsid w:val="003A4BEA"/>
    <w:pPr>
      <w:spacing w:before="120" w:after="0" w:line="240" w:lineRule="auto"/>
    </w:pPr>
    <w:rPr>
      <w:rFonts w:ascii="Montserrat Light" w:eastAsiaTheme="majorEastAsia" w:hAnsi="Montserrat Light" w:cs="Times New Roman (Headings CS)"/>
      <w:i/>
      <w:iCs/>
      <w:caps/>
      <w:color w:val="337CB4"/>
      <w:sz w:val="31"/>
      <w:szCs w:val="32"/>
    </w:rPr>
  </w:style>
  <w:style w:type="paragraph" w:customStyle="1" w:styleId="PracticesTitle">
    <w:name w:val="Practices Title"/>
    <w:basedOn w:val="Heading2"/>
    <w:qFormat/>
    <w:rsid w:val="003A4BEA"/>
    <w:pPr>
      <w:framePr w:hSpace="180" w:wrap="around" w:vAnchor="text" w:hAnchor="margin" w:y="34"/>
      <w:spacing w:before="120"/>
    </w:pPr>
    <w:rPr>
      <w:rFonts w:ascii="Montserrat Medium" w:hAnsi="Montserrat Medium"/>
      <w:color w:val="337CB4"/>
    </w:rPr>
  </w:style>
  <w:style w:type="paragraph" w:customStyle="1" w:styleId="SubListParagraph">
    <w:name w:val="Sub List Paragraph"/>
    <w:basedOn w:val="ListParagraph"/>
    <w:qFormat/>
    <w:rsid w:val="003A4BEA"/>
    <w:pPr>
      <w:ind w:left="576"/>
    </w:pPr>
  </w:style>
  <w:style w:type="table" w:styleId="TableGrid">
    <w:name w:val="Table Grid"/>
    <w:basedOn w:val="TableNormal"/>
    <w:uiPriority w:val="39"/>
    <w:rsid w:val="003A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3A4BEA"/>
    <w:pPr>
      <w:spacing w:before="240" w:after="120"/>
    </w:pPr>
    <w:rPr>
      <w:rFonts w:ascii="Trade Gothic LT Std Extended" w:hAnsi="Trade Gothic LT Std Extended" w:cs="Calibri (Body)"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A4BEA"/>
    <w:pPr>
      <w:spacing w:before="120"/>
      <w:ind w:left="240"/>
    </w:pPr>
    <w:rPr>
      <w:rFonts w:ascii="Trade Gothic LT Std Extended" w:hAnsi="Trade Gothic LT Std Extended" w:cstheme="minorHAnsi"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4BEA"/>
    <w:pPr>
      <w:ind w:left="480"/>
    </w:pPr>
    <w:rPr>
      <w:rFonts w:ascii="Trade Gothic LT Std Extended" w:hAnsi="Trade Gothic LT Std Extended" w:cstheme="minorHAnsi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4BEA"/>
    <w:pPr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4BEA"/>
    <w:pPr>
      <w:ind w:left="96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4BEA"/>
    <w:pPr>
      <w:ind w:left="12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4BEA"/>
    <w:pPr>
      <w:ind w:left="144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4BEA"/>
    <w:pPr>
      <w:ind w:left="168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4BEA"/>
    <w:pPr>
      <w:ind w:left="1920"/>
    </w:pPr>
    <w:rPr>
      <w:rFonts w:cs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A4BEA"/>
    <w:pPr>
      <w:spacing w:before="480" w:line="276" w:lineRule="auto"/>
      <w:outlineLvl w:val="9"/>
    </w:pPr>
    <w:rPr>
      <w:bCs/>
      <w:kern w:val="0"/>
      <w:sz w:val="28"/>
      <w:szCs w:val="28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4BEA"/>
    <w:rPr>
      <w:color w:val="605E5C"/>
      <w:shd w:val="clear" w:color="auto" w:fill="E1DFDD"/>
    </w:rPr>
  </w:style>
  <w:style w:type="paragraph" w:customStyle="1" w:styleId="BulletedList">
    <w:name w:val="Bulleted List"/>
    <w:basedOn w:val="SubListParagraph"/>
    <w:qFormat/>
    <w:rsid w:val="004F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Lloyd</dc:creator>
  <cp:keywords/>
  <dc:description/>
  <cp:lastModifiedBy>Windows User</cp:lastModifiedBy>
  <cp:revision>42</cp:revision>
  <dcterms:created xsi:type="dcterms:W3CDTF">2024-06-05T13:07:00Z</dcterms:created>
  <dcterms:modified xsi:type="dcterms:W3CDTF">2025-09-14T11:34:00Z</dcterms:modified>
</cp:coreProperties>
</file>