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James P. Oliver</w:t>
            </w:r>
          </w:p>
          <w:p w14:paraId="721B5907" w14:textId="2CE3BDC0" w:rsidR="00781D57" w:rsidRDefault="00781D57" w:rsidP="00781D57">
            <w:pPr>
              <w:pStyle w:val="PersonTitle"/>
            </w:pPr>
            <w:r>
              <w:t>Associate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216.297.4167</w:t>
            </w:r>
            <w:br/>
            <w:r>
              <w:rPr>
                <w:color w:val="337CB4"/>
              </w:rPr>
              <w:t xml:space="preserve">email </w:t>
            </w:r>
            <w:r>
              <w:rPr/>
              <w:t xml:space="preserve"> joliver@hahnlaw.com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Business Law, Mergers &amp; Acquisitions, Corporate Securities, Middle Market, Restructuring, Bankruptcy and Insolvency</w:t>
            </w:r>
          </w:p>
        </w:tc>
      </w:tr>
    </w:tbl>
    <w:tbl>
      <w:tblGrid>
        <w:gridCol/>
      </w:tblGrid>
      <w:tr>
        <w:trPr/>
        <w:tc>
          <w:tcPr>
            <w:noWrap/>
          </w:tcPr>
          <w:p>
            <w:pPr/>
            <w:r>
              <w:rPr/>
              <w:t xml:space="preserve">James P. Oliver focuses his legal practice on corporate law matters. As an attorney in Hahn Loeser’s Business Practice Area, James provides strategic advice to middle market, closely held and family held clients on a wide variety of matters, including corporate transactions, corporate governance, mergers and acquisitions, commercial contracts, financings and more. He has been involved in transactions in the health care, food, landfill gas and environmental services, investment advisory, manufacturing, and sports apparel industries. James strives to understand the business goals and objectives of each client and approaches legal issues with these goals and objectives in mind. Clients have described James as having “incredibly shrewd legal judgement while also understanding the commercial impacts of a given point.”</w:t>
            </w:r>
          </w:p>
          <w:p>
            <w:pPr/>
            <w:r>
              <w:rPr/>
              <w:t xml:space="preserve">James received his juris doctor from Case Western Reserve School of Law where he was Publisher for the </w:t>
            </w:r>
            <w:r>
              <w:rPr>
                <w:i w:val="1"/>
                <w:iCs w:val="1"/>
              </w:rPr>
              <w:t xml:space="preserve">Case Western Reserve Law Review</w:t>
            </w:r>
            <w:r>
              <w:rPr/>
              <w:t xml:space="preserve"> and a member of the Corporate Finance Law Alliance. He also served as an extern to the Honorable Donald C. Nugent of the U.S. District Court for the Northern District of Ohio. While attending Hamilton College, James spent one semester in Washington, D.C. interning at the Public Integrity Section of the United States Department of Justice, which oversees the prosecution of elected and appointed public officials at all levels of government.</w:t>
            </w:r>
          </w:p>
          <w:p>
            <w:pPr/>
            <w:r>
              <w:rPr/>
              <w:t xml:space="preserve">A native of Cleveland, Ohio, James attended St. Ignatius High School and continues to be an active alumnus.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 w:rsidRPr="00CD6991">
        <w:rPr>
          <w:rStyle w:val="P(HH)"/>
          <w:b/>
        </w:rPr>
        <w:t xml:space="default">Representative Experience:</w:t>
      </w:r>
    </w:p>
    <w:p w:rsidR="007F1EF5" w:rsidP="00C214F1" w:rsidRDefault="00C214F1">
      <w:pPr>
        <w:pStyle w:val="ListParagraph"/>
      </w:pPr>
      <w:r>
        <w:t>Represented landfill gas and environmental services consulting business in its sale to a private equity firm.</w:t>
      </w:r>
      <w:r>
        <w:t xml:space="preserve"> </w:t>
      </w:r>
    </w:p>
    <w:p w:rsidR="007F1EF5" w:rsidP="00C214F1" w:rsidRDefault="00C214F1">
      <w:pPr>
        <w:pStyle w:val="ListParagraph"/>
      </w:pPr>
      <w:r>
        <w:t>Represented independent registered investment advisors in sale of RIA firm to private equity-backed RIA firm</w:t>
      </w:r>
      <w:r>
        <w:t xml:space="preserve"> </w:t>
      </w:r>
    </w:p>
    <w:p w:rsidR="007F1EF5" w:rsidP="00C214F1" w:rsidRDefault="00C214F1">
      <w:pPr>
        <w:pStyle w:val="ListParagraph"/>
      </w:pPr>
      <w:r>
        <w:t>Represented a manufacturer of high-value industrial equipment and conveyor systems in its sale to a private equity firm.</w:t>
      </w:r>
      <w:r>
        <w:t xml:space="preserve"> </w:t>
      </w:r>
    </w:p>
    <w:p w:rsidR="007F1EF5" w:rsidP="00C214F1" w:rsidRDefault="00C214F1">
      <w:pPr>
        <w:pStyle w:val="ListParagraph"/>
      </w:pPr>
      <w:r>
        <w:t>Represented company in the healthcare industry in its sale to a private equity firm.</w:t>
      </w:r>
      <w:r>
        <w:t xml:space="preserve"> </w:t>
      </w:r>
    </w:p>
    <w:p w:rsidR="007F1EF5" w:rsidP="00C214F1" w:rsidRDefault="00C214F1">
      <w:pPr>
        <w:pStyle w:val="ListParagraph"/>
      </w:pPr>
      <w:r>
        <w:t>Represented the purchaser of multiple HVAC companies.</w:t>
      </w:r>
      <w:r>
        <w:t xml:space="preserve"> </w:t>
      </w:r>
    </w:p>
    <w:p w:rsidR="007F1EF5" w:rsidP="00C214F1" w:rsidRDefault="00C214F1">
      <w:pPr>
        <w:pStyle w:val="ListParagraph"/>
      </w:pPr>
      <w:r>
        <w:t>Represented consultant in the negotiation of a profits interest award arrangement with a national telehealth company.</w:t>
      </w:r>
      <w:r>
        <w:t xml:space="preserve"> </w:t>
      </w:r>
    </w:p>
    <w:p w:rsidR="007F1EF5" w:rsidP="00C214F1" w:rsidRDefault="00C214F1">
      <w:pPr>
        <w:pStyle w:val="ListParagraph"/>
      </w:pPr>
      <w:r>
        <w:t>Represented a portfolio company of a private equity firm in the sale of assets to a global sports apparel company.</w:t>
      </w:r>
      <w:r>
        <w:t xml:space="preserve"> </w:t>
      </w:r>
    </w:p>
    <w:p w:rsidR="007F1EF5" w:rsidP="00C214F1" w:rsidRDefault="00C214F1">
      <w:pPr>
        <w:pStyle w:val="ListParagraph"/>
      </w:pPr>
      <w:r>
        <w:t>Represented the purchaser of a prosthetics and orthotics practice.</w:t>
      </w:r>
      <w:r>
        <w:t xml:space="preserve"> </w:t>
      </w:r>
    </w:p>
    <w:p w:rsidR="007F1EF5" w:rsidP="00C214F1" w:rsidRDefault="00C214F1">
      <w:pPr>
        <w:pStyle w:val="ListParagraph"/>
      </w:pPr>
      <w:r>
        <w:t>Represented a shareholder group in the buyout of a family owned business in the waterworks and valve manufacturing industry.</w:t>
      </w:r>
      <w:r>
        <w:t xml:space="preserve"> </w:t>
      </w:r>
    </w:p>
    <w:p w:rsidR="007F1EF5" w:rsidP="00C214F1" w:rsidRDefault="00C214F1">
      <w:pPr>
        <w:pStyle w:val="ListParagraph"/>
      </w:pPr>
      <w:r>
        <w:t>Represented a manufacturer and distributor of rigid packing in several acquisitions.</w:t>
      </w:r>
      <w:r>
        <w:t xml:space="preserve"> </w:t>
      </w:r>
    </w:p>
    <w:p w:rsidR="007F1EF5" w:rsidP="00C214F1" w:rsidRDefault="00C214F1">
      <w:pPr>
        <w:pStyle w:val="ListParagraph"/>
      </w:pPr>
      <w:r>
        <w:t>Represented the purchaser of a dry-cleaning business.</w:t>
      </w:r>
      <w:r>
        <w:t xml:space="preserve"> </w:t>
      </w:r>
    </w:p>
    <w:p w:rsidR="007F1EF5" w:rsidP="00C214F1" w:rsidRDefault="00C214F1">
      <w:pPr>
        <w:pStyle w:val="ListParagraph"/>
      </w:pPr>
      <w:r>
        <w:t>Represented the seller of a security and logistics business in its sale to a private equity firm.</w:t>
      </w:r>
      <w:r>
        <w:t xml:space="preserve"> </w:t>
      </w:r>
    </w:p>
    <w:p w:rsidR="007F1EF5" w:rsidP="00C214F1" w:rsidRDefault="00C214F1">
      <w:pPr>
        <w:pStyle w:val="ListParagraph"/>
      </w:pPr>
      <w:r>
        <w:t>Represented large privately held company in multiple refinancings.</w:t>
      </w:r>
      <w:r>
        <w:t xml:space="preserve"> </w:t>
      </w:r>
    </w:p>
    <w:p/>
    <w:p w:rsidR="007F1EF5" w:rsidP="00C214F1" w:rsidRDefault="00C214F1">
      <w:pPr>
        <w:pStyle w:val="Heading2"/>
      </w:pPr>
      <w:r w:rsidRPr="009328C8">
        <w:t>BAR ADMISSIONS</w:t>
      </w:r>
    </w:p>
    <w:p w:rsidR="007F1EF5" w:rsidP="00C214F1" w:rsidRDefault="00C214F1">
      <w:pPr>
        <w:pStyle w:val="ListParagraph"/>
      </w:pPr>
      <w:r>
        <w:t>State of Ohio, 2018</w:t>
      </w:r>
      <w:r>
        <w:t xml:space="preserve"> </w:t>
      </w:r>
    </w:p>
    <w:p w:rsidR="007F1EF5" w:rsidP="00C214F1" w:rsidRDefault="00C214F1">
      <w:pPr>
        <w:pStyle w:val="Heading2"/>
      </w:pPr>
      <w:r w:rsidRPr="009328C8">
        <w:t>EDUCATION</w:t>
      </w:r>
    </w:p>
    <w:p w:rsidR="007F1EF5" w:rsidP="00C214F1" w:rsidRDefault="00C214F1">
      <w:pPr>
        <w:pStyle w:val="ListParagraph"/>
      </w:pPr>
      <w:r>
        <w:t>Case Western Reserve University School of Law, J.D., 2018</w:t>
      </w:r>
      <w:r>
        <w:t xml:space="preserve"> </w:t>
      </w:r>
    </w:p>
    <w:p w:rsidR="007F1EF5" w:rsidP="00C214F1" w:rsidRDefault="00C214F1">
      <w:pPr>
        <w:ind w:left="705"/>
      </w:pPr>
      <w:r>
        <w:t>Dean’s List; Case Western Reserve Law Review, Publisher, 2017-18, Associate Editor, 2016-17; Corporate Finance Law Alliance, Member; Graduate Student Council, Representative</w:t>
      </w:r>
      <w:r>
        <w:t xml:space="preserve"> </w:t>
      </w:r>
    </w:p>
    <w:p w:rsidR="007F1EF5" w:rsidP="00C214F1" w:rsidRDefault="00C214F1">
      <w:pPr>
        <w:pStyle w:val="ListParagraph"/>
      </w:pPr>
      <w:r>
        <w:t>Hamilton College, B.A., Government, 2015</w:t>
      </w:r>
      <w:r>
        <w:t xml:space="preserve"> </w:t>
      </w:r>
    </w:p>
    <w:p w:rsidR="007F1EF5" w:rsidP="00C214F1" w:rsidRDefault="00C214F1">
      <w:pPr>
        <w:ind w:left="705"/>
      </w:pPr>
      <w:r>
        <w:t>Dean’s List, Alpha Delta Phi Fraternity; Men’s Varsity Tennis Team, Captain, 2014-15, Scholar Athlete 2014-15; Hamilton College Washington Program</w:t>
      </w:r>
      <w:r>
        <w:t xml:space="preserve"> </w:t>
      </w:r>
    </w:p>
    <w:p w:rsidR="007F1EF5" w:rsidP="00C214F1" w:rsidRDefault="00C214F1">
      <w:pPr>
        <w:pStyle w:val="Heading2"/>
      </w:pPr>
      <w:r w:rsidRPr="009328C8">
        <w:t>AWARDS &amp; HONORS</w:t>
      </w:r>
    </w:p>
    <w:p w:rsidR="007F1EF5" w:rsidP="00C214F1" w:rsidRDefault="00C214F1">
      <w:pPr>
        <w:pStyle w:val="ListParagraph"/>
      </w:pPr>
      <w:r>
        <w:t>Ones to Watch, Best Lawyers®, Bankruptcy and Creditors Rights/Insolvency and Reorganization Law, 2024-26; Corporate Governance and Compliance Law, 2024-26; Corporate Law, 2024-26; Mergers and Acquisitions Law, 2024-26; Securities/Capital Markets Law, 2024-26; Closely Held Companies and Family Businesses Law, 2026</w:t>
      </w:r>
      <w:r>
        <w:t xml:space="preserve"> </w:t>
      </w:r>
    </w:p>
    <w:p w:rsidR="007F1EF5" w:rsidP="00C214F1" w:rsidRDefault="00C214F1">
      <w:pPr>
        <w:pStyle w:val="ListParagraph"/>
      </w:pPr>
      <w:r>
        <w:t>Rising Star, Ohio Super Lawyers®, Business/Corporate, 2024-25</w:t>
      </w:r>
      <w:r>
        <w:t xml:space="preserve"> </w:t>
      </w:r>
    </w:p>
    <w:p w:rsidR="007F1EF5" w:rsidP="00C214F1" w:rsidRDefault="00C214F1">
      <w:pPr>
        <w:pStyle w:val="ListParagraph"/>
      </w:pPr>
      <w:r>
        <w:t>Smart Business Dealmakers Rising Stars, 2024</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Business Owners to Face New Federal Reporting Obligations Under the Corporate Transparency Act in 2024</w:t>
      </w:r>
      <w:r>
        <w:t xml:space="preserve"> </w:t>
      </w:r>
    </w:p>
    <w:p w:rsidR="007F1EF5" w:rsidP="00C214F1" w:rsidRDefault="00C214F1">
      <w:pPr>
        <w:pStyle w:val="ListParagraph"/>
      </w:pPr>
      <w:r>
        <w:t>The Corporate Transparency Act to Take Effect: What Business Owners Need to Know</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Bar Association, Member, 2017 – present</w:t>
      </w:r>
      <w:r>
        <w:t xml:space="preserve"> </w:t>
      </w:r>
    </w:p>
    <w:p w:rsidR="007F1EF5" w:rsidP="00C214F1" w:rsidRDefault="00C214F1">
      <w:pPr>
        <w:pStyle w:val="ListParagraph"/>
      </w:pPr>
      <w:r>
        <w:t>Cleveland Metropolitan Bar Association, Member, 2019 – present</w:t>
      </w:r>
      <w:r>
        <w:t xml:space="preserve"> </w:t>
      </w:r>
    </w:p>
    <w:p w:rsidR="007F1EF5" w:rsidP="00C214F1" w:rsidRDefault="00C214F1">
      <w:pPr>
        <w:pStyle w:val="ListParagraph"/>
      </w:pPr>
      <w:r>
        <w:t>Federal Bar Association, Member, 2017 – present</w:t>
      </w:r>
      <w:r>
        <w:t xml:space="preserve"> </w:t>
      </w:r>
    </w:p>
    <w:p w:rsidR="007F1EF5" w:rsidP="00C214F1" w:rsidRDefault="00C214F1">
      <w:pPr>
        <w:pStyle w:val="Heading2"/>
      </w:pPr>
      <w:r w:rsidRPr="009328C8">
        <w:t>COMMUNITY INVOLVEMENT</w:t>
      </w:r>
    </w:p>
    <w:p w:rsidR="007F1EF5" w:rsidP="00C214F1" w:rsidRDefault="00C214F1">
      <w:pPr>
        <w:pStyle w:val="ListParagraph"/>
      </w:pPr>
      <w:r>
        <w:t>Uncommon.org, Inc, Volunteer</w:t>
      </w:r>
      <w:r>
        <w:t xml:space="preserve"> </w:t>
      </w:r>
    </w:p>
    <w:p w:rsidR="007F1EF5" w:rsidP="00C214F1" w:rsidRDefault="00C214F1">
      <w:pPr>
        <w:pStyle w:val="ListParagraph"/>
      </w:pPr>
      <w:r>
        <w:t>Saint Ignatius Young Alumni Committee, Member</w:t>
      </w:r>
      <w:r>
        <w:t xml:space="preserve"> </w:t>
      </w:r>
    </w:p>
    <w:p w:rsidR="007F1EF5" w:rsidP="00C214F1" w:rsidRDefault="00C214F1">
      <w:pPr>
        <w:pStyle w:val="Heading2"/>
      </w:pPr>
      <w:r w:rsidRPr="009328C8">
        <w:t>Professional History</w:t>
      </w:r>
    </w:p>
    <w:p w:rsidR="007F1EF5" w:rsidP="00C214F1" w:rsidRDefault="00C214F1">
      <w:pPr>
        <w:pStyle w:val="ListParagraph"/>
      </w:pPr>
      <w:r>
        <w:t>Associate, Hahn Loeser &amp; Parks LLP, 2018-present; Summer Associate, 2017</w:t>
      </w:r>
      <w:r>
        <w:t xml:space="preserve"> </w:t>
      </w:r>
    </w:p>
    <w:p w:rsidR="007F1EF5" w:rsidP="00C214F1" w:rsidRDefault="00C214F1">
      <w:pPr>
        <w:pStyle w:val="ListParagraph"/>
      </w:pPr>
      <w:r>
        <w:t>Extern, Hon. Donald C. Nugent, U.S. District Court for the Northern District of Ohio, 2016</w:t>
      </w:r>
      <w:r>
        <w:t xml:space="preserve"> </w:t>
      </w:r>
    </w:p>
    <w:p w:rsidR="007F1EF5" w:rsidP="00C214F1" w:rsidRDefault="00C214F1">
      <w:pPr>
        <w:pStyle w:val="ListParagraph"/>
      </w:pPr>
      <w:r>
        <w:t>Intern, U.S. Department of Justice, Public Integrity Section, 2013</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