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James M. Gianfagna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216.297.4211</w:t>
            </w:r>
            <w:br/>
            <w:r>
              <w:rPr>
                <w:color w:val="337CB4"/>
              </w:rPr>
              <w:t xml:space="preserve">email </w:t>
            </w:r>
            <w:r>
              <w:rPr/>
              <w:t xml:space="preserve"> jgianfagna@hahnlaw.com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Real Estate, Corporate Securities, Mergers &amp; Acquisitions</w:t>
            </w:r>
          </w:p>
        </w:tc>
      </w:tr>
    </w:tbl>
    <w:tbl>
      <w:tblGrid>
        <w:gridCol/>
      </w:tblGrid>
      <w:tr>
        <w:trPr/>
        <w:tc>
          <w:tcPr>
            <w:noWrap/>
          </w:tcPr>
          <w:p>
            <w:pPr/>
            <w:r>
              <w:rPr/>
              <w:t xml:space="preserve">James M. Gianfagna serves as a trusted business advisor to his clients, many of whom are early-stage and emerging technology companies. A corporate and real estate lawyer, Jim is a partner in Hahn Loeser’s Business Practice Area where he provides strategic advice to clients on a wide variety of corporate and transactional matters, including corporate transactions, corporate governance, mergers and acquisitions, fundraising, and commercial contracts. Jim has experience representing both buyers and sellers in complex mergers and acquisitions across various industries.</w:t>
            </w:r>
          </w:p>
          <w:p>
            <w:pPr/>
            <w:r>
              <w:rPr/>
              <w:t xml:space="preserve">A significant portion of Jim’s practice involves medical technology startups and early-stage companies. Often, these clients—physicians, dentists, and other experts in their chosen field—have a vision for a new product or technology, but they need direction and counsel in their execution. Jim and his team work closely with these clients to build a plan for launching a company, developing the technology, and recruiting and retaining key personnel and investors. Jim maintains a close relationship with his clients, guiding the company throughout its life cycle, from formation to funding to exit, all with economic efficiency.</w:t>
            </w:r>
          </w:p>
          <w:p>
            <w:pPr/>
            <w:r>
              <w:rPr/>
              <w:t xml:space="preserve">Jim’s practice also includes substantial real estate experience negotiating, drafting, and counseling on commercial and residential real estate acquisitions, sales, leases, financing, and easements.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2015</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cum laude</w:t>
      </w:r>
      <w:r>
        <w:t xml:space="preserve"> </w:t>
      </w:r>
      <w:r>
        <w:t>, 2015</w:t>
      </w:r>
      <w:r>
        <w:t xml:space="preserve"> </w:t>
      </w:r>
    </w:p>
    <w:p w:rsidR="007F1EF5" w:rsidP="00C214F1" w:rsidRDefault="00C214F1">
      <w:pPr>
        <w:ind w:left="705"/>
      </w:pPr>
      <w:r>
        <w:t>Dean’s List; </w:t>
      </w:r>
      <w:r>
        <w:t xml:space="preserve"> </w:t>
      </w:r>
      <w:r>
        <w:rPr>
          <w:i/>
        </w:rPr>
        <w:t>Cleveland State Law Review</w:t>
      </w:r>
      <w:r>
        <w:t xml:space="preserve"> </w:t>
      </w:r>
      <w:r>
        <w:t>, Executive Editor; Student Bar Association, President; CALI “High A” Award for Representing the Professional Athlete, Great Lakes Sports Entertainment Law Academy, Summer 2014</w:t>
      </w:r>
      <w:r>
        <w:t xml:space="preserve"> </w:t>
      </w:r>
    </w:p>
    <w:p w:rsidR="007F1EF5" w:rsidP="00C214F1" w:rsidRDefault="00C214F1">
      <w:pPr>
        <w:pStyle w:val="ListParagraph"/>
      </w:pPr>
      <w:r>
        <w:t>The Ohio State University, B.A., Political Science, </w:t>
      </w:r>
      <w:r>
        <w:t xml:space="preserve"> </w:t>
      </w:r>
      <w:r>
        <w:rPr>
          <w:i/>
        </w:rPr>
        <w:t>magna cum laude</w:t>
      </w:r>
      <w:r>
        <w:t xml:space="preserve"> </w:t>
      </w:r>
      <w:r>
        <w:t>, 2011; B.A., Italian, magna cum laude, 2011</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Business/Corporate, 2019, 2022-25</w:t>
      </w:r>
      <w:r>
        <w:t xml:space="preserve"> </w:t>
      </w:r>
    </w:p>
    <w:p w:rsidR="007F1EF5" w:rsidP="00C214F1" w:rsidRDefault="00C214F1">
      <w:pPr>
        <w:pStyle w:val="ListParagraph"/>
      </w:pPr>
      <w:r>
        <w:t>Ones to Watch, Best Lawyers®, Corporate Law, 2023-25; Real Estate Law, 2023-25; Mergers and Acquisitions Law, 2024-25, Corporate Governance and Compliance Law, 2025</w:t>
      </w:r>
      <w:r>
        <w:t xml:space="preserve"> </w:t>
      </w:r>
    </w:p>
    <w:p w:rsidR="007F1EF5" w:rsidP="00C214F1" w:rsidRDefault="00C214F1">
      <w:pPr>
        <w:pStyle w:val="ListParagraph"/>
      </w:pPr>
      <w:r>
        <w:t>Cleveland Bridge Builders, Class of 2024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What’s New and Why it Matters</w:t>
      </w:r>
      <w:r>
        <w:t xml:space="preserve"> </w:t>
      </w:r>
    </w:p>
    <w:p w:rsidR="007F1EF5" w:rsidP="00C214F1" w:rsidRDefault="00C214F1">
      <w:pPr>
        <w:pStyle w:val="ListParagraph"/>
      </w:pPr>
      <w:r>
        <w:t>Practical Drafting Considerations for Ohio’s New LLC Act</w:t>
      </w:r>
      <w:r>
        <w:t xml:space="preserve"> </w:t>
      </w:r>
    </w:p>
    <w:p w:rsidR="007F1EF5" w:rsidP="00C214F1" w:rsidRDefault="00C214F1">
      <w:pPr>
        <w:pStyle w:val="ListParagraph"/>
      </w:pPr>
      <w:r>
        <w:t>Ohio’s Revised Limited Liability Company Act</w:t>
      </w:r>
      <w:r>
        <w:t xml:space="preserve"> </w:t>
      </w:r>
    </w:p>
    <w:p w:rsidR="007F1EF5" w:rsidP="00C214F1" w:rsidRDefault="00C214F1">
      <w:pPr>
        <w:pStyle w:val="ListParagraph"/>
      </w:pPr>
      <w:r>
        <w:t>Ohio Revised Code Chapter 1706: What’s New and Why it Matters</w:t>
      </w:r>
      <w:r>
        <w:t xml:space="preserve"> </w:t>
      </w:r>
    </w:p>
    <w:p w:rsidR="007F1EF5" w:rsidP="00C214F1" w:rsidRDefault="00C214F1">
      <w:pPr>
        <w:pStyle w:val="ListParagraph"/>
      </w:pPr>
      <w:r>
        <w:t>Practical Drafting Considerations for Ohio’s New LLC Act</w:t>
      </w:r>
      <w:r>
        <w:t xml:space="preserve"> </w:t>
      </w:r>
    </w:p>
    <w:p w:rsidR="007F1EF5" w:rsidP="00C214F1" w:rsidRDefault="00C214F1">
      <w:pPr>
        <w:pStyle w:val="ListParagraph"/>
      </w:pPr>
      <w:r>
        <w:t>Review of Ohio’s new LLC Statute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w:t>
      </w:r>
      <w:r>
        <w:t xml:space="preserve"> </w:t>
      </w:r>
    </w:p>
    <w:p w:rsidR="007F1EF5" w:rsidP="00C214F1" w:rsidRDefault="00C214F1">
      <w:pPr>
        <w:pStyle w:val="ListParagraph"/>
      </w:pPr>
      <w:r>
        <w:t>Cleveland Metropolitan Bar Association</w:t>
      </w:r>
      <w:r>
        <w:t xml:space="preserve"> </w:t>
      </w:r>
    </w:p>
    <w:p w:rsidR="007F1EF5" w:rsidP="00C214F1" w:rsidRDefault="00C214F1">
      <w:pPr>
        <w:pStyle w:val="ListParagraph"/>
      </w:pPr>
      <w:r>
        <w:t>Ohio State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University Hospital’s Rainbow Babies and Children’s Foundation, Associate Board Member</w:t>
      </w:r>
      <w:r>
        <w:t xml:space="preserve"> </w:t>
      </w:r>
    </w:p>
    <w:p w:rsidR="007F1EF5" w:rsidP="00C214F1" w:rsidRDefault="00C214F1">
      <w:pPr>
        <w:pStyle w:val="ListParagraph"/>
      </w:pPr>
      <w:r>
        <w:t>Cleveland Metropolitan Bar Association 3Rs Program, Volunteer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2024-present; Associate, 2022-2023</w:t>
      </w:r>
      <w:r>
        <w:t xml:space="preserve"> </w:t>
      </w:r>
    </w:p>
    <w:p w:rsidR="007F1EF5" w:rsidP="00C214F1" w:rsidRDefault="00C214F1">
      <w:pPr>
        <w:pStyle w:val="ListParagraph"/>
      </w:pPr>
      <w:r>
        <w:t>Associate, Schneider Smeltz Spieth Bell, LLP, 2016-2022</w:t>
      </w:r>
      <w:r>
        <w:t xml:space="preserve"> </w:t>
      </w:r>
    </w:p>
    <w:p w:rsidR="007F1EF5" w:rsidP="00C214F1" w:rsidRDefault="00C214F1">
      <w:pPr>
        <w:pStyle w:val="ListParagraph"/>
      </w:pPr>
      <w:r>
        <w:t>Of Counsel, McSherry &amp; Co., LPA, 2016</w:t>
      </w:r>
      <w:r>
        <w:t xml:space="preserve"> </w:t>
      </w:r>
    </w:p>
    <w:p w:rsidR="007F1EF5" w:rsidP="00C214F1" w:rsidRDefault="00C214F1">
      <w:pPr>
        <w:pStyle w:val="ListParagraph"/>
      </w:pPr>
      <w:r>
        <w:t>Of Counsel, Toerek Law, 2015-2016</w:t>
      </w:r>
      <w:r>
        <w:t xml:space="preserve"> </w:t>
      </w:r>
    </w:p>
    <w:p w:rsidR="007F1EF5" w:rsidP="00C214F1" w:rsidRDefault="00C214F1">
      <w:pPr>
        <w:pStyle w:val="ListParagraph"/>
      </w:pPr>
      <w:r>
        <w:t>Law Clerk, Mansour Gavin L.P.A, 2014-2015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