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Ian Pike</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619.810.4309</w:t>
            </w:r>
            <w:br/>
            <w:r>
              <w:rPr>
                <w:color w:val="337CB4"/>
              </w:rPr>
              <w:t xml:space="preserve">email </w:t>
            </w:r>
            <w:r>
              <w:rPr/>
              <w:t xml:space="preserve"> ipike@hahnlaw.com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600 West Broadway</w:t>
            </w:r>
            <w:r>
              <w:rPr/>
              <w:t xml:space="preserve">
                <w:br/>
              </w:t>
            </w:r>
            <w:r>
              <w:rPr/>
              <w:t xml:space="preserve">Suite 1500</w:t>
            </w:r>
            <w:r>
              <w:rPr/>
              <w:t xml:space="preserve">
                <w:br/>
              </w:t>
            </w:r>
            <w:r>
              <w:rPr/>
              <w:t xml:space="preserve">San Diego, California 92101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Appellate Advocacy</w:t>
            </w:r>
          </w:p>
        </w:tc>
      </w:tr>
    </w:tbl>
    <w:tbl>
      <w:tblGrid>
        <w:gridCol/>
      </w:tblGrid>
      <w:tr>
        <w:trPr/>
        <w:tc>
          <w:tcPr>
            <w:noWrap/>
          </w:tcPr>
          <w:p>
            <w:pPr/>
            <w:r>
              <w:rPr/>
              <w:t xml:space="preserve">A creative attorney with a flair for outside-the-box legal ingenuity, Ian Pike is a lawyer who can see the other side of a seemingly intractable legal problem and think sideways about it until he crafts an innovative solution. Ian represents businesses and individuals in a wide range of litigation matters in state and federal courts. Although he focuses his practice on non-consumer business litigation, he is perpetually curious about new areas of law and always eager to help his clients, whatever their litigation needs may be. His thoughtful approach to litigation centers around his ability to identify the key issues that define each case in its own unique way; a framework he uses to guide him through all phases of litigation, from pre-filing investigation all the way to successfully representing clients on appeal.</w:t>
            </w:r>
          </w:p>
          <w:p>
            <w:pPr>
              <w:pStyle w:val="Heading2"/>
            </w:pPr>
            <w:r>
              <w:rPr/>
              <w:t xml:space="preserve">FEDERAL COURT PRACTICE</w:t>
            </w:r>
          </w:p>
          <w:p>
            <w:pPr/>
            <w:r>
              <w:rPr/>
              <w:t xml:space="preserve">A member of his local Federal Bar Association chapter, Ian recognizes that a federal forum is often the best way to meet his client’s litigation needs. Ian uses his experience as a federal litigator and a federal judicial law clerk to maximize his clients’ advantages in federal civil cases where streamlined pretrial procedures require an on-your-toes approach to litigation.</w:t>
            </w:r>
          </w:p>
          <w:p>
            <w:pPr>
              <w:pStyle w:val="Heading2"/>
            </w:pPr>
            <w:r>
              <w:rPr/>
              <w:t xml:space="preserve">PLAINTIFF’S COUNSEL</w:t>
            </w:r>
          </w:p>
          <w:p>
            <w:pPr/>
            <w:r>
              <w:rPr/>
              <w:t xml:space="preserve">Ian’s practice includes substantial experience representing plaintiffs in civil cases, which makes him a valuable resource for any client who faces the difficult decision about whether to file a lawsuit. He has the knowledge and experience to take an active approach to litigation by always seeking to move a case forward towards a favorable resolution. Ian’s experience allows him to represent his clients throughout the life of a civil case seeking affirmative relief. As a detail-driven litigator who stays focused on only the material information driving a case, Ian can guide his clients from day one, before a lawsuit is even filed, always with the goal of building a record that prevails on the merits and stands up on appeal.</w:t>
            </w:r>
          </w:p>
          <w:p>
            <w:pPr>
              <w:pStyle w:val="Heading2"/>
            </w:pPr>
            <w:r>
              <w:rPr/>
              <w:t xml:space="preserve">PROFICIENT IN CIVIL DISCOVERY LAW</w:t>
            </w:r>
          </w:p>
          <w:p>
            <w:pPr/>
            <w:r>
              <w:rPr/>
              <w:t xml:space="preserve">Having served three years as a law clerk to a federal magistrate judge, Ian has extensive subject-matter knowledge about the law governing civil discovery under the Federal Rules of Civil Procedure and analogous state rules. Although discovery is one of the most daunting aspects of any civil case, Ian can leverage his judgment about what is or is not discoverable to help his clients take full advantage of their right to discovery, and also to understand the limits of their reciprocal discovery obligations. Ian has published several articles about civil discovery issues, and he continues to research and write in that area as a means of keeping abreast of the issues driving the development of discovery procedures in state and federal courts.</w:t>
            </w:r>
          </w:p>
          <w:p>
            <w:pPr>
              <w:pStyle w:val="Heading2"/>
            </w:pPr>
            <w:r>
              <w:rPr/>
              <w:t xml:space="preserve">A COMPREHENSIVE BACKGROUND</w:t>
            </w:r>
          </w:p>
          <w:p>
            <w:pPr/>
            <w:r>
              <w:rPr/>
              <w:t xml:space="preserve">Prior to joining Hahn Loeser, Ian served as a law clerk to Magistrate Judge Karen S. Crawford in the Southern District of California for three years. Before that, he worked in a boutique firm with other trial attorneys representing clients in labor, employment, and consumer class action matters.</w:t>
            </w:r>
          </w:p>
          <w:p>
            <w:pPr/>
            <w:r>
              <w:rPr/>
              <w:t xml:space="preserve">A former columnist at the </w:t>
            </w:r>
            <w:r>
              <w:rPr>
                <w:i w:val="1"/>
                <w:iCs w:val="1"/>
              </w:rPr>
              <w:t xml:space="preserve">San Diego Reader</w:t>
            </w:r>
            <w:r>
              <w:rPr/>
              <w:t xml:space="preserve">, Ian wrote extensively on topics from food to humor to theater and the arts. Prior to working as a newspaper columnist, Ian had a career in food service as a professional baker and sauté cook. He earned his J.D. from the University of San Diego School of Law, </w:t>
            </w:r>
            <w:r>
              <w:rPr>
                <w:i w:val="1"/>
                <w:iCs w:val="1"/>
              </w:rPr>
              <w:t xml:space="preserve">summa cum laude</w:t>
            </w:r>
            <w:r>
              <w:rPr/>
              <w:t xml:space="preserve">, where he received CALI Awards for seven classes, won the intramural Alumni Torts Moot, received the Outstanding Clinic Intern award from the civil clinic, and delivered the student address at his commencement. Ian remains connected to the USD Law community, serving as an alumni advisor to the Appellate Moot Court board for the purpose of recruiting volunteer judges for the law school’s three annual moot court tournaments.</w:t>
            </w:r>
          </w:p>
          <w:p>
            <w:pPr/>
            <w:r>
              <w:rPr/>
              <w:t xml:space="preserve">Ian is an active and enthusiastic member of the Louis M. Welsh Inn of Court, where he has served as a small group participant since he joined the Inn. Recently, he has taken on a role as a small group leader.</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
        <w:t xml:space="preserve">As co-counsel, obtained reversal of a District Court order dismissing a class action complaint. The Ninth Circuit reported its decision as </w:t>
      </w:r>
      <w:r w:rsidRPr="00CD6991">
        <w:rPr>
          <w:rStyle w:val="P(HH)"/>
          <w:i/>
        </w:rPr>
        <w:t xml:space="default">Cohen v. ConAgra Brands, Inc.</w:t>
      </w:r>
      <w:r>
        <w:t>, 16 F.4th 1283 (2021).</w:t>
      </w:r>
    </w:p>
    <w:p w:rsidR="007F1EF5" w:rsidP="00C214F1" w:rsidRDefault="00C214F1">
      <w:pPr>
        <w:pStyle w:val="Heading2"/>
      </w:pPr>
      <w:r w:rsidRPr="009328C8">
        <w:t>BAR ADMISSIONS</w:t>
      </w:r>
    </w:p>
    <w:p w:rsidR="007F1EF5" w:rsidP="00C214F1" w:rsidRDefault="00C214F1">
      <w:pPr>
        <w:pStyle w:val="ListParagraph"/>
      </w:pPr>
      <w:r>
        <w:t>State of California</w:t>
      </w:r>
      <w:r>
        <w:t xml:space="preserve"> </w:t>
      </w:r>
    </w:p>
    <w:p w:rsidR="007F1EF5" w:rsidP="00C214F1" w:rsidRDefault="00C214F1">
      <w:pPr>
        <w:pStyle w:val="ListParagraph"/>
      </w:pPr>
      <w:r>
        <w:t>United States Court of Appeals for the Ninth Circuit</w:t>
      </w:r>
      <w:r>
        <w:t xml:space="preserve"> </w:t>
      </w:r>
    </w:p>
    <w:p w:rsidR="007F1EF5" w:rsidP="00C214F1" w:rsidRDefault="00C214F1">
      <w:pPr>
        <w:pStyle w:val="ListParagraph"/>
      </w:pPr>
      <w:r>
        <w:t>United States District Court, Southern District of California</w:t>
      </w:r>
      <w:r>
        <w:t xml:space="preserve"> </w:t>
      </w:r>
    </w:p>
    <w:p w:rsidR="007F1EF5" w:rsidP="00C214F1" w:rsidRDefault="00C214F1">
      <w:pPr>
        <w:pStyle w:val="ListParagraph"/>
      </w:pPr>
      <w:r>
        <w:t>United States District Court, Central District of California</w:t>
      </w:r>
      <w:r>
        <w:t xml:space="preserve"> </w:t>
      </w:r>
    </w:p>
    <w:p w:rsidR="007F1EF5" w:rsidP="00C214F1" w:rsidRDefault="00C214F1">
      <w:pPr>
        <w:pStyle w:val="ListParagraph"/>
      </w:pPr>
      <w:r>
        <w:t>United States District Court, Eastern District of California</w:t>
      </w:r>
      <w:r>
        <w:t xml:space="preserve"> </w:t>
      </w:r>
    </w:p>
    <w:p w:rsidR="007F1EF5" w:rsidP="00C214F1" w:rsidRDefault="00C214F1">
      <w:pPr>
        <w:pStyle w:val="Heading2"/>
      </w:pPr>
      <w:r w:rsidRPr="009328C8">
        <w:t>EDUCATION</w:t>
      </w:r>
    </w:p>
    <w:p w:rsidR="007F1EF5" w:rsidP="00C214F1" w:rsidRDefault="00C214F1">
      <w:pPr>
        <w:pStyle w:val="ListParagraph"/>
      </w:pPr>
      <w:r>
        <w:t>University of San Diego School of Law, J.D., </w:t>
      </w:r>
      <w:r>
        <w:t xml:space="preserve"> </w:t>
      </w:r>
      <w:r>
        <w:rPr>
          <w:i/>
        </w:rPr>
        <w:t>summa cum laude</w:t>
      </w:r>
      <w:r>
        <w:t xml:space="preserve"> </w:t>
      </w:r>
    </w:p>
    <w:p w:rsidR="007F1EF5" w:rsidP="00C214F1" w:rsidRDefault="00C214F1">
      <w:pPr>
        <w:pStyle w:val="ListParagraph"/>
      </w:pPr>
      <w:r>
        <w:t>Emmanuel College, B.A, </w:t>
      </w:r>
      <w:r>
        <w:t xml:space="preserve"> </w:t>
      </w:r>
      <w:r>
        <w:rPr>
          <w:i/>
        </w:rPr>
        <w:t>magna cum laude</w:t>
      </w:r>
      <w:r>
        <w:t xml:space="preserve"> </w:t>
      </w:r>
    </w:p>
    <w:p w:rsidR="007F1EF5" w:rsidP="00C214F1" w:rsidRDefault="00C214F1">
      <w:pPr>
        <w:pStyle w:val="Heading2"/>
      </w:pPr>
      <w:r w:rsidRPr="009328C8">
        <w:t>AWARDS &amp; HONORS</w:t>
      </w:r>
    </w:p>
    <w:p w:rsidR="007F1EF5" w:rsidP="00C214F1" w:rsidRDefault="00C214F1">
      <w:pPr>
        <w:pStyle w:val="ListParagraph"/>
      </w:pPr>
      <w:r>
        <w:t>Best Lawyers: Ones to Watch (2021)</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Don’t Let an Adverse Party Commit to Producing ‘Relevant’ Documents (The Daily Journal)</w:t>
      </w:r>
      <w:r>
        <w:t xml:space="preserve"> </w:t>
      </w:r>
    </w:p>
    <w:p w:rsidR="007F1EF5" w:rsidP="00C214F1" w:rsidRDefault="00C214F1">
      <w:pPr>
        <w:pStyle w:val="ListParagraph"/>
      </w:pPr>
      <w:r>
        <w:t>Psych Records in Emotional Distress Cases: Where We Went Wrong and How to Fix It (California Litigation)</w:t>
      </w:r>
      <w:r>
        <w:t xml:space="preserve"> </w:t>
      </w:r>
    </w:p>
    <w:p w:rsidR="007F1EF5" w:rsidP="00C214F1" w:rsidRDefault="00C214F1">
      <w:pPr>
        <w:pStyle w:val="ListParagraph"/>
      </w:pPr>
      <w:r>
        <w:t>Settling Cases Early and Often (The ABTL Report)</w:t>
      </w:r>
      <w:r>
        <w:t xml:space="preserve"> </w:t>
      </w:r>
    </w:p>
    <w:p w:rsidR="007F1EF5" w:rsidP="00C214F1" w:rsidRDefault="00C214F1">
      <w:pPr>
        <w:pStyle w:val="ListParagraph"/>
      </w:pPr>
      <w:r>
        <w:t>Pro Tips to Improve Your Southern District Practice (San Diego Lawyer)</w:t>
      </w:r>
      <w:r>
        <w:t xml:space="preserve"> </w:t>
      </w:r>
    </w:p>
    <w:p w:rsidR="007F1EF5" w:rsidP="00C214F1" w:rsidRDefault="00C214F1">
      <w:pPr>
        <w:pStyle w:val="ListParagraph"/>
      </w:pPr>
      <w:r>
        <w:t>Five Ways to Sound More Human (San Diego Lawyer)</w:t>
      </w:r>
      <w:r>
        <w:t xml:space="preserve"> </w:t>
      </w:r>
    </w:p>
    <w:p w:rsidR="007F1EF5" w:rsidP="00C214F1" w:rsidRDefault="00C214F1">
      <w:pPr>
        <w:pStyle w:val="ListParagraph"/>
      </w:pPr>
      <w:r>
        <w:t>Limit These Four Phrases to Improve Your Writing (San Diego Lawyer)</w:t>
      </w:r>
      <w:r>
        <w:t xml:space="preserve"> </w:t>
      </w:r>
    </w:p>
    <w:p w:rsidR="007F1EF5" w:rsidP="00C214F1" w:rsidRDefault="00C214F1">
      <w:pPr>
        <w:pStyle w:val="Heading2"/>
      </w:pPr>
      <w:r w:rsidRPr="009328C8">
        <w:t>MEMBERSHIPS &amp; AFFILIATIONS</w:t>
      </w:r>
    </w:p>
    <w:p w:rsidR="007F1EF5" w:rsidP="00C214F1" w:rsidRDefault="00C214F1">
      <w:pPr>
        <w:pStyle w:val="ListParagraph"/>
      </w:pPr>
      <w:r>
        <w:t>Louis M. Welsh Inn of Court</w:t>
      </w:r>
      <w:r>
        <w:t xml:space="preserve"> </w:t>
      </w:r>
    </w:p>
    <w:p w:rsidR="007F1EF5" w:rsidP="00C214F1" w:rsidRDefault="00C214F1">
      <w:pPr>
        <w:pStyle w:val="ListParagraph"/>
      </w:pPr>
      <w:r>
        <w:t>Federal Bar Association</w:t>
      </w:r>
      <w:r>
        <w:t xml:space="preserve"> </w:t>
      </w:r>
    </w:p>
    <w:p w:rsidR="007F1EF5" w:rsidP="00C214F1" w:rsidRDefault="00C214F1">
      <w:pPr>
        <w:pStyle w:val="ListParagraph"/>
      </w:pPr>
      <w:r>
        <w:t>California Lawyers Association</w:t>
      </w:r>
      <w:r>
        <w:t xml:space="preserve"> </w:t>
      </w:r>
    </w:p>
    <w:p w:rsidR="007F1EF5" w:rsidP="00C214F1" w:rsidRDefault="00C214F1">
      <w:pPr>
        <w:pStyle w:val="ListParagraph"/>
      </w:pPr>
      <w:r>
        <w:t>San Diego County Bar Association</w:t>
      </w:r>
      <w:r>
        <w:t xml:space="preserve"> </w:t>
      </w:r>
    </w:p>
    <w:p w:rsidR="007F1EF5" w:rsidP="00C214F1" w:rsidRDefault="00C214F1">
      <w:pPr>
        <w:pStyle w:val="ListParagraph"/>
      </w:pPr>
      <w:r>
        <w:t>La Jolla Bar Association</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2025 – present;</w:t>
      </w:r>
      <w:r>
        <w:t xml:space="preserve"> </w:t>
      </w:r>
    </w:p>
    <w:p w:rsidR="007F1EF5" w:rsidP="00C214F1" w:rsidRDefault="00C214F1">
      <w:pPr>
        <w:pStyle w:val="ListParagraph"/>
      </w:pPr>
      <w:r>
        <w:t>Law Clerk to the Honorable Karen S. Crawford, 2022 -2025</w:t>
      </w:r>
      <w:r>
        <w:t xml:space="preserve"> </w:t>
      </w:r>
    </w:p>
    <w:p w:rsidR="007F1EF5" w:rsidP="00C214F1" w:rsidRDefault="00C214F1">
      <w:pPr>
        <w:pStyle w:val="ListParagraph"/>
      </w:pPr>
      <w:r>
        <w:t>Associate, Haeggquist &amp; Eck, LLP, 2019-2022</w:t>
      </w:r>
      <w:r>
        <w:t xml:space="preserve"> </w:t>
      </w:r>
    </w:p>
    <w:p w:rsidR="007F1EF5" w:rsidP="00C214F1" w:rsidRDefault="00C214F1">
      <w:pPr>
        <w:pStyle w:val="Heading2"/>
      </w:pPr>
      <w:r w:rsidRPr="009328C8">
        <w:t>Personal</w:t>
      </w:r>
    </w:p>
    <w:p>
      <w:r>
        <w:t>Ian is a former amateur track and road bicycle racer who remains an avid cyclist and cycling fan. He enjoys any opportunity to spend time on a boat, particularly if it involves watersports or fishing and diving; and he enjoys the task of tricking tropical fruit into growing at his house.</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