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Gregory A. Thompson</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216.274.2421</w:t>
            </w:r>
            <w:br/>
            <w:r>
              <w:rPr>
                <w:color w:val="337CB4"/>
              </w:rPr>
              <w:t xml:space="preserve">email </w:t>
            </w:r>
            <w:r>
              <w:rPr/>
              <w:t xml:space="preserve"> gthompson@hahnlaw.com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 Complex Commercial Litigation, Construction</w:t>
            </w:r>
          </w:p>
        </w:tc>
      </w:tr>
    </w:tbl>
    <w:tbl>
      <w:tblGrid>
        <w:gridCol/>
      </w:tblGrid>
      <w:tr>
        <w:trPr/>
        <w:tc>
          <w:tcPr>
            <w:noWrap/>
          </w:tcPr>
          <w:p>
            <w:pPr/>
            <w:r>
              <w:rPr/>
              <w:t xml:space="preserve">Gregory A. Thompson is a partner in Hahn Loeser’s nationally acclaimed Litigation, Construction, and Manufacturing &amp; Automation practice areas. Greg is a seasoned litigator with a proven track record in a wide array of matters. He has significant experience handling complex commercial litigation, including breach of contract, Uniform Commercial Code (UCC), and business tort claims. Greg has also successfully handled significant intellectual property matters and employer intentional torts.</w:t>
            </w:r>
          </w:p>
          <w:p>
            <w:pPr/>
            <w:r>
              <w:rPr/>
              <w:t xml:space="preserve">Greg has strengths across a number of industries, with an emphasis on construction, manufacturing, and automation. Greg has successfully pursued and defended multi-million-dollar claims involving delays, extra and changed work, and construction and manufacturing defects on both public and private projects. Greg regularly represents integrators, manufacturers, general contractors, construction managers, sureties, specialty subcontractors, and suppliers. Greg also maintains a robust pre-litigation practice with the aim of mitigating risk and avoiding disputes altogether.</w:t>
            </w:r>
          </w:p>
          <w:p>
            <w:pPr/>
            <w:r>
              <w:rPr/>
              <w:t xml:space="preserve">Based on Greg’s successes for his clients, he was selected to and regularly serves as an instructor at The University of Akron School of Law’s Summer Trial Academy. Greg is also deeply invested in a number of industry trade associations and served as the chair of the Cleveland-Metropolitan Bar Association’s Litigation Section.</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 2012</w:t>
      </w:r>
      <w:r>
        <w:t xml:space="preserve"> </w:t>
      </w:r>
    </w:p>
    <w:p w:rsidR="007F1EF5" w:rsidP="00C214F1" w:rsidRDefault="00C214F1">
      <w:pPr>
        <w:pStyle w:val="ListParagraph"/>
      </w:pPr>
      <w:r>
        <w:t>U.S. District Court for the Northern District of Ohio, 2013</w:t>
      </w:r>
      <w:r>
        <w:t xml:space="preserve"> </w:t>
      </w:r>
    </w:p>
    <w:p w:rsidR="007F1EF5" w:rsidP="00C214F1" w:rsidRDefault="00C214F1">
      <w:pPr>
        <w:pStyle w:val="ListParagraph"/>
      </w:pPr>
      <w:r>
        <w:t>U.S. District Court for the Southern District of Ohio, 2020</w:t>
      </w:r>
      <w:r>
        <w:t xml:space="preserve"> </w:t>
      </w:r>
    </w:p>
    <w:p w:rsidR="007F1EF5" w:rsidP="00C214F1" w:rsidRDefault="00C214F1">
      <w:pPr>
        <w:pStyle w:val="ListParagraph"/>
      </w:pPr>
      <w:r>
        <w:t>U.S. District Court for the Eastern Division of Wisconsin, 2018</w:t>
      </w:r>
      <w:r>
        <w:t xml:space="preserve"> </w:t>
      </w:r>
    </w:p>
    <w:p w:rsidR="007F1EF5" w:rsidP="00C214F1" w:rsidRDefault="00C214F1">
      <w:pPr>
        <w:pStyle w:val="ListParagraph"/>
      </w:pPr>
      <w:r>
        <w:t>U.S. District Court for the Eastern District of Michigan, 2022</w:t>
      </w:r>
      <w:r>
        <w:t xml:space="preserve"> </w:t>
      </w:r>
    </w:p>
    <w:p w:rsidR="007F1EF5" w:rsidP="00C214F1" w:rsidRDefault="00C214F1">
      <w:pPr>
        <w:pStyle w:val="ListParagraph"/>
      </w:pPr>
      <w:r>
        <w:t>U.S. District Court for the Western District of Michigan, 2023</w:t>
      </w:r>
      <w:r>
        <w:t xml:space="preserve"> </w:t>
      </w:r>
    </w:p>
    <w:p w:rsidR="007F1EF5" w:rsidP="00C214F1" w:rsidRDefault="00C214F1">
      <w:pPr>
        <w:pStyle w:val="ListParagraph"/>
      </w:pPr>
      <w:r>
        <w:t>U.S. District Court for the Western District of New York, 2023</w:t>
      </w:r>
      <w:r>
        <w:t xml:space="preserve"> </w:t>
      </w:r>
    </w:p>
    <w:p w:rsidR="007F1EF5" w:rsidP="00C214F1" w:rsidRDefault="00C214F1">
      <w:pPr>
        <w:pStyle w:val="Heading2"/>
      </w:pPr>
      <w:r w:rsidRPr="009328C8">
        <w:t>EDUCATION</w:t>
      </w:r>
    </w:p>
    <w:p w:rsidR="007F1EF5" w:rsidP="00C214F1" w:rsidRDefault="00C214F1">
      <w:pPr>
        <w:pStyle w:val="ListParagraph"/>
      </w:pPr>
      <w:r>
        <w:t>The University of Akron School of Law, J.D., </w:t>
      </w:r>
      <w:r>
        <w:t xml:space="preserve"> </w:t>
      </w:r>
      <w:r>
        <w:rPr>
          <w:i/>
        </w:rPr>
        <w:t>magna cum laude</w:t>
      </w:r>
      <w:r>
        <w:t xml:space="preserve"> </w:t>
      </w:r>
      <w:r>
        <w:t>, 2012</w:t>
      </w:r>
      <w:r>
        <w:t xml:space="preserve"> </w:t>
      </w:r>
    </w:p>
    <w:p w:rsidR="007F1EF5" w:rsidP="00C214F1" w:rsidRDefault="00C214F1">
      <w:pPr>
        <w:ind w:left="705"/>
      </w:pPr>
      <w:r>
        <w:t>Certificate in Litigation, Alternative Dispute Resolution, and Trial Advocacy; CALI Excellence for the Future Award in Trial Advocacy; Mock Trial Team Honor Society, Officer; Mock Trial National Competition Team, Advocate; Moot Court Honor Society, Member; </w:t>
      </w:r>
      <w:r>
        <w:t xml:space="preserve"> </w:t>
      </w:r>
      <w:r>
        <w:rPr>
          <w:i/>
        </w:rPr>
        <w:t>Akron Law Review</w:t>
      </w:r>
      <w:r>
        <w:t xml:space="preserve"> </w:t>
      </w:r>
      <w:r>
        <w:t>, Staff Editor</w:t>
      </w:r>
      <w:r>
        <w:t xml:space="preserve"> </w:t>
      </w:r>
    </w:p>
    <w:p w:rsidR="007F1EF5" w:rsidP="00C214F1" w:rsidRDefault="00C214F1">
      <w:pPr>
        <w:pStyle w:val="ListParagraph"/>
      </w:pPr>
      <w:r>
        <w:t>Ohio University, B.B.A., Management Information Systems, </w:t>
      </w:r>
      <w:r>
        <w:t xml:space="preserve"> </w:t>
      </w:r>
      <w:r>
        <w:rPr>
          <w:i/>
        </w:rPr>
        <w:t>cum laude</w:t>
      </w:r>
      <w:r>
        <w:t xml:space="preserve"> </w:t>
      </w:r>
      <w:r>
        <w:t>, 2009</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2025</w:t>
      </w:r>
      <w:r>
        <w:t xml:space="preserve"> </w:t>
      </w:r>
    </w:p>
    <w:p w:rsidR="007F1EF5" w:rsidP="00C214F1" w:rsidRDefault="00C214F1">
      <w:pPr>
        <w:pStyle w:val="ListParagraph"/>
      </w:pPr>
      <w:r>
        <w:t>Ones to Watch, Best Lawyers®, 2022, 2023, 2024</w:t>
      </w:r>
      <w:r>
        <w:t xml:space="preserve"> </w:t>
      </w:r>
    </w:p>
    <w:p w:rsidR="007F1EF5" w:rsidP="00C214F1" w:rsidRDefault="00C214F1">
      <w:pPr>
        <w:pStyle w:val="ListParagraph"/>
      </w:pPr>
      <w:r>
        <w:t>Rising Star, Ohio Super Lawyers®, 2018, 2019, 2020, 2021, 2022, 2023, 2024, 2025</w:t>
      </w:r>
      <w:r>
        <w:t xml:space="preserve"> </w:t>
      </w:r>
    </w:p>
    <w:p w:rsidR="007F1EF5" w:rsidP="00C214F1" w:rsidRDefault="00C214F1">
      <w:pPr>
        <w:pStyle w:val="ListParagraph"/>
      </w:pPr>
      <w:r>
        <w:t>America’s Top 100 Bet-the-Company Litigators®, 2019, 2020</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Dealing with Tariffs and Executive Orders (Properties Magazine)</w:t>
      </w:r>
      <w:r>
        <w:t xml:space="preserve"> </w:t>
      </w:r>
    </w:p>
    <w:p w:rsidR="007F1EF5" w:rsidP="00C214F1" w:rsidRDefault="00C214F1">
      <w:pPr>
        <w:pStyle w:val="ListParagraph"/>
      </w:pPr>
      <w:r>
        <w:t>Beware Potential Hidden “Warranties” in Contract Documents (Properties Magazine)</w:t>
      </w:r>
      <w:r>
        <w:t xml:space="preserve"> </w:t>
      </w:r>
    </w:p>
    <w:p w:rsidR="007F1EF5" w:rsidP="00C214F1" w:rsidRDefault="00C214F1">
      <w:pPr>
        <w:pStyle w:val="ListParagraph"/>
      </w:pPr>
      <w:r>
        <w:t>Reviewing Bidding Documents</w:t>
      </w:r>
      <w:r>
        <w:t xml:space="preserve"> </w:t>
      </w:r>
    </w:p>
    <w:p w:rsidR="007F1EF5" w:rsidP="00C214F1" w:rsidRDefault="00C214F1">
      <w:pPr>
        <w:pStyle w:val="ListParagraph"/>
      </w:pPr>
      <w:r>
        <w:t>Construction Law Hot Topics (National Business Institute)</w:t>
      </w:r>
      <w:r>
        <w:t xml:space="preserve"> </w:t>
      </w:r>
    </w:p>
    <w:p w:rsidR="007F1EF5" w:rsidP="00C214F1" w:rsidRDefault="00C214F1">
      <w:pPr>
        <w:pStyle w:val="ListParagraph"/>
      </w:pPr>
      <w:r>
        <w:t>Bidding Documents: Construction Contract Workshop (Halfmoon Education Inc.)</w:t>
      </w:r>
      <w:r>
        <w:t xml:space="preserve"> </w:t>
      </w:r>
    </w:p>
    <w:p w:rsidR="007F1EF5" w:rsidP="00C214F1" w:rsidRDefault="00C214F1">
      <w:pPr>
        <w:pStyle w:val="ListParagraph"/>
      </w:pPr>
      <w:r>
        <w:t>Legal Perspectives: Best Practices for Roof Moisture Testing (Properties Magazine)</w:t>
      </w:r>
      <w:r>
        <w:t xml:space="preserve"> </w:t>
      </w:r>
    </w:p>
    <w:p w:rsidR="007F1EF5" w:rsidP="00C214F1" w:rsidRDefault="00C214F1">
      <w:pPr>
        <w:pStyle w:val="ListParagraph"/>
      </w:pPr>
      <w:r>
        <w:t>Construction Contracts, Ohio Construction Law from Start to Finish (National Business Institute)</w:t>
      </w:r>
      <w:r>
        <w:t xml:space="preserve"> </w:t>
      </w:r>
    </w:p>
    <w:p w:rsidR="007F1EF5" w:rsidP="00C214F1" w:rsidRDefault="00C214F1">
      <w:pPr>
        <w:pStyle w:val="ListParagraph"/>
      </w:pPr>
      <w:r>
        <w:t>Ohio Bill Shortening Statute of Limitations Goes Into Effect</w:t>
      </w:r>
      <w:r>
        <w:t xml:space="preserve"> </w:t>
      </w:r>
    </w:p>
    <w:p w:rsidR="007F1EF5" w:rsidP="00C214F1" w:rsidRDefault="00C214F1">
      <w:pPr>
        <w:pStyle w:val="ListParagraph"/>
      </w:pPr>
      <w:r>
        <w:t>Ohio Bill Shortening Statute of Limitations Signed by Governor</w:t>
      </w:r>
      <w:r>
        <w:t xml:space="preserve"> </w:t>
      </w:r>
    </w:p>
    <w:p w:rsidR="007F1EF5" w:rsidP="00C214F1" w:rsidRDefault="00C214F1">
      <w:pPr>
        <w:pStyle w:val="ListParagraph"/>
      </w:pPr>
      <w:r>
        <w:t>U.S. Supreme Court Declines to Provide Clarity on Threshold Question of Arbitrability</w:t>
      </w:r>
      <w:r>
        <w:t xml:space="preserve"> </w:t>
      </w:r>
    </w:p>
    <w:p w:rsidR="007F1EF5" w:rsidP="00C214F1" w:rsidRDefault="00C214F1">
      <w:pPr>
        <w:pStyle w:val="ListParagraph"/>
      </w:pPr>
      <w:r>
        <w:t>Changes and Delays in Construction Projects, Construction Law from Start to Finish (National Business Institute)</w:t>
      </w:r>
      <w:r>
        <w:t xml:space="preserve"> </w:t>
      </w:r>
    </w:p>
    <w:p w:rsidR="007F1EF5" w:rsidP="00C214F1" w:rsidRDefault="00C214F1">
      <w:pPr>
        <w:pStyle w:val="ListParagraph"/>
      </w:pPr>
      <w:r>
        <w:t>Ohio Court of Claims Decision Puts Public Works Bond Sureties Directly Behind the Eight Ball:  Strict Application of Claims Waiver Provisions Bars Surety Payment Claims</w:t>
      </w:r>
      <w:r>
        <w:t xml:space="preserve"> </w:t>
      </w:r>
    </w:p>
    <w:p w:rsidR="007F1EF5" w:rsidP="00C214F1" w:rsidRDefault="00C214F1">
      <w:pPr>
        <w:pStyle w:val="ListParagraph"/>
      </w:pPr>
      <w:r>
        <w:t>Construction Law: Advanced Issues and Answers (National Business Institute)</w:t>
      </w:r>
      <w:r>
        <w:t xml:space="preserve"> </w:t>
      </w:r>
    </w:p>
    <w:p w:rsidR="007F1EF5" w:rsidP="00C214F1" w:rsidRDefault="00C214F1">
      <w:pPr>
        <w:pStyle w:val="ListParagraph"/>
      </w:pPr>
      <w:r>
        <w:t>Trending Issues in Legal Ethics (Cleveland Metropolitan Bar Association)</w:t>
      </w:r>
      <w:r>
        <w:t xml:space="preserve"> </w:t>
      </w:r>
    </w:p>
    <w:p w:rsidR="007F1EF5" w:rsidP="00C214F1" w:rsidRDefault="00C214F1">
      <w:pPr>
        <w:pStyle w:val="ListParagraph"/>
      </w:pPr>
      <w:r>
        <w:t>Asking All the Right Questions: Best Practices for Ensuring That Your Putative Class Member Interview Complies With the Rules of Professional Conduct (Defense Research Institute)</w:t>
      </w:r>
      <w:r>
        <w:t xml:space="preserve"> </w:t>
      </w:r>
    </w:p>
    <w:p w:rsidR="007F1EF5" w:rsidP="00C214F1" w:rsidRDefault="00C214F1">
      <w:pPr>
        <w:pStyle w:val="Heading2"/>
      </w:pPr>
      <w:r w:rsidRPr="009328C8">
        <w:t>MEMBERSHIPS &amp; AFFILIATIONS</w:t>
      </w:r>
    </w:p>
    <w:p w:rsidR="007F1EF5" w:rsidP="00C214F1" w:rsidRDefault="00C214F1">
      <w:pPr>
        <w:pStyle w:val="ListParagraph"/>
      </w:pPr>
      <w:r>
        <w:t>Association for Advancing Automation (A3)</w:t>
      </w:r>
      <w:r>
        <w:t xml:space="preserve"> </w:t>
      </w:r>
    </w:p>
    <w:p w:rsidR="007F1EF5" w:rsidP="00C214F1" w:rsidRDefault="00C214F1">
      <w:pPr>
        <w:pStyle w:val="ListParagraph"/>
      </w:pPr>
      <w:r>
        <w:t>Construction Lawyers Society of America™, Fellow</w:t>
      </w:r>
      <w:r>
        <w:t xml:space="preserve"> </w:t>
      </w:r>
    </w:p>
    <w:p w:rsidR="007F1EF5" w:rsidP="00C214F1" w:rsidRDefault="00C214F1">
      <w:pPr>
        <w:pStyle w:val="ListParagraph"/>
      </w:pPr>
      <w:r>
        <w:t>Ohio Contractor’s Association, Young Leaders Forum</w:t>
      </w:r>
      <w:r>
        <w:t xml:space="preserve"> </w:t>
      </w:r>
    </w:p>
    <w:p w:rsidR="007F1EF5" w:rsidP="00C214F1" w:rsidRDefault="00C214F1">
      <w:pPr>
        <w:pStyle w:val="ListParagraph"/>
      </w:pPr>
      <w:r>
        <w:t>Cleveland Metropolitan Bar Association, Litigation Section, Chair, 2019, Vice Chair, 2018, Vice President of Membership, 2017; 3Rs Volunteer, 2017-18</w:t>
      </w:r>
      <w:r>
        <w:t xml:space="preserve"> </w:t>
      </w:r>
    </w:p>
    <w:p w:rsidR="007F1EF5" w:rsidP="00C214F1" w:rsidRDefault="00C214F1">
      <w:pPr>
        <w:pStyle w:val="Heading2"/>
      </w:pPr>
      <w:r w:rsidRPr="009328C8">
        <w:t>COMMUNITY INVOLVEMENT</w:t>
      </w:r>
    </w:p>
    <w:p w:rsidR="007F1EF5" w:rsidP="00C214F1" w:rsidRDefault="00C214F1">
      <w:pPr>
        <w:pStyle w:val="ListParagraph"/>
      </w:pPr>
      <w:r>
        <w:t>Summer Trial Academy Instructor, The University of Akron School of Law, 2015-18</w:t>
      </w:r>
      <w:r>
        <w:t xml:space="preserve"> </w:t>
      </w:r>
    </w:p>
    <w:p w:rsidR="007F1EF5" w:rsidP="00C214F1" w:rsidRDefault="00C214F1">
      <w:pPr>
        <w:pStyle w:val="ListParagraph"/>
      </w:pPr>
      <w:r>
        <w:t>Mock Trial Team Coach, The University of Akron School of Law, 2012-present</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2021-present; Associate 2018-2021</w:t>
      </w:r>
      <w:r>
        <w:t xml:space="preserve"> </w:t>
      </w:r>
    </w:p>
    <w:p w:rsidR="007F1EF5" w:rsidP="00C214F1" w:rsidRDefault="00C214F1">
      <w:pPr>
        <w:pStyle w:val="ListParagraph"/>
      </w:pPr>
      <w:r>
        <w:t>Associate, Schneider Smeltz Spieth Bell LLP, 2015-18</w:t>
      </w:r>
      <w:r>
        <w:t xml:space="preserve"> </w:t>
      </w:r>
    </w:p>
    <w:p w:rsidR="007F1EF5" w:rsidP="00C214F1" w:rsidRDefault="00C214F1">
      <w:pPr>
        <w:pStyle w:val="ListParagraph"/>
      </w:pPr>
      <w:r>
        <w:t>Associate, Thompson Hine LLP, 2012-15</w:t>
      </w:r>
      <w:r>
        <w:t xml:space="preserve"> </w:t>
      </w:r>
    </w:p>
    <w:p w:rsidR="007F1EF5" w:rsidP="00C214F1" w:rsidRDefault="00C214F1">
      <w:pPr>
        <w:pStyle w:val="ListParagraph"/>
      </w:pPr>
      <w:r>
        <w:t>Judicial Extern, Hon. Christopher A. Boyko, U.S. District Court, 2012</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