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E. Sean Medina</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216.274.2240</w:t>
            </w:r>
            <w:br/>
            <w:r>
              <w:rPr>
                <w:color w:val="337CB4"/>
              </w:rPr>
              <w:t xml:space="preserve">email </w:t>
            </w:r>
            <w:r>
              <w:rPr/>
              <w:t xml:space="preserve"> smedina@hahnlaw.com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Class Action Litigation, Complex Commercial Litigation</w:t>
            </w:r>
          </w:p>
        </w:tc>
      </w:tr>
    </w:tbl>
    <w:tbl>
      <w:tblGrid>
        <w:gridCol/>
      </w:tblGrid>
      <w:tr>
        <w:trPr/>
        <w:tc>
          <w:tcPr>
            <w:noWrap/>
          </w:tcPr>
          <w:p>
            <w:pPr/>
            <w:r>
              <w:rPr/>
              <w:t xml:space="preserve">With nearly 20 years of experience representing clients both inside and outside of the courtroom, Sean provides targeted, creative, and assertive legal strategy. He has represented clients both large and small, such as one of the top tier health insurers in the country, one of the most recognized hospital systems in the world, North America’s largest flat-rolled steel producer and supplier of iron ore pellets, a fortune 500 company that provides title insurance and settlement services to the real estate and mortgage industries, and several family-owned businesses. Sean enjoys getting to know his clients, understanding their business needs, and fighting to further those needs through litigation.</w:t>
            </w:r>
          </w:p>
          <w:p>
            <w:pPr/>
            <w:r>
              <w:rPr/>
              <w:t xml:space="preserve">Sean has a record of early success for his clients through dispositive motions, defeat of class certification, and securing dismissal of or summary judgment on claims prior to trial. He also has years of experience representing clients in alternative dispute resolution proceedings, such as arbitration and mediation.</w:t>
            </w:r>
          </w:p>
          <w:p>
            <w:pPr/>
            <w:r>
              <w:rPr/>
              <w:t xml:space="preserve">Focusing on healthcare litigation, Sean’s litigation experience includes payor-provider litigation, class actions, state statutory claims, and ERISA litigation. Sean also has experience in the following areas of general commercial litigation:</w:t>
            </w:r>
          </w:p>
          <w:p>
            <w:pPr>
              <w:numPr>
                <w:ilvl w:val="0"/>
                <w:numId w:val="1"/>
              </w:numPr>
            </w:pPr>
            <w:r>
              <w:rPr/>
              <w:t xml:space="preserve">Breach of contract claims</w:t>
            </w:r>
          </w:p>
          <w:p>
            <w:pPr>
              <w:numPr>
                <w:ilvl w:val="0"/>
                <w:numId w:val="1"/>
              </w:numPr>
            </w:pPr>
            <w:r>
              <w:rPr/>
              <w:t xml:space="preserve">Business torts and fraud claims</w:t>
            </w:r>
          </w:p>
          <w:p>
            <w:pPr>
              <w:numPr>
                <w:ilvl w:val="0"/>
                <w:numId w:val="1"/>
              </w:numPr>
            </w:pPr>
            <w:r>
              <w:rPr/>
              <w:t xml:space="preserve">Class action defense</w:t>
            </w:r>
          </w:p>
          <w:p>
            <w:pPr>
              <w:numPr>
                <w:ilvl w:val="0"/>
                <w:numId w:val="1"/>
              </w:numPr>
            </w:pPr>
            <w:r>
              <w:rPr/>
              <w:t xml:space="preserve">Claims asserting state and Federal statutory violations</w:t>
            </w:r>
          </w:p>
          <w:p>
            <w:pPr>
              <w:numPr>
                <w:ilvl w:val="0"/>
                <w:numId w:val="1"/>
              </w:numPr>
            </w:pPr>
            <w:r>
              <w:rPr/>
              <w:t xml:space="preserve">State bid and procurement litigation</w:t>
            </w:r>
          </w:p>
          <w:p>
            <w:pPr/>
            <w:r>
              <w:rPr/>
              <w:t xml:space="preserve">In addition to his duties as a litigation partner at the Firm, Sean has served as chair of Hahn Loeser’s Diversity &amp; Inclusion Committee for five years, leading a group of 10 attorneys and senior staff members to develop and implement initiatives to enhance the Firm’s inclusive workplace culture, recruitment, and retention efforts. Under his leadership, the Firm achieved Mansfield™ Rule Certification for Midsize Law Firms in 2023 and Mansfield™ Rule Certification Plus for Midsize Law Firms in 2024.</w:t>
            </w:r>
          </w:p>
          <w:p>
            <w:pPr/>
            <w:r>
              <w:rPr/>
              <w:t xml:space="preserve">A native of Greater Cleveland, Sean earned his J.D. from Cleveland-Marshall College of Law in 2007 and a Bachelor of Arts from Bowling Green University in 2003. His love for Northeast Ohio extends to his community involvement, where he has been a board member of the Epilepsy Association since 2013 and was recently named to the board of Cleveland Public Theatre. He has served as a mentor for several organizations, a legal advisor for a local high school mock trial team, and as part of the leadership team for the Cleveland Metropolitan Bar Association’s Litigation Section.</w:t>
            </w:r>
          </w:p>
          <w:p>
            <w:pPr/>
            <w:r>
              <w:rPr/>
              <w:t xml:space="preserve">Sean’s passion for serving his clients and his community has been recognized in recent years. Sean was named in Best Lawyers in America for Commercial Litigation (2024-2025), a </w:t>
            </w:r>
            <w:r>
              <w:rPr>
                <w:i w:val="1"/>
                <w:iCs w:val="1"/>
              </w:rPr>
              <w:t xml:space="preserve">Crain’s Cleveland Business’</w:t>
            </w:r>
            <w:r>
              <w:rPr/>
              <w:t xml:space="preserve"> 2023 “Notable Latino Leader,” selected to participate in Leadership Cleveland, Class of 2020, named to </w:t>
            </w:r>
            <w:r>
              <w:rPr>
                <w:i w:val="1"/>
                <w:iCs w:val="1"/>
              </w:rPr>
              <w:t xml:space="preserve">Crain’s Cleveland Business’</w:t>
            </w:r>
            <w:r>
              <w:rPr/>
              <w:t xml:space="preserve"> 2018 Class of “Forty Under 40,” and named as a Rising Star in Ohio Super Lawyers®, 2014-17.</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Lead counsel for top tier health insurance company in dozens of private arbitrations, private mediations, and lawsuits, resulting in favorable rulings and favorable settlements. Cases involve payor-provider disputes, breach of contract actions, and alleged violations of state and federal statutes and claimed damages range from several hundred thousand dollars to more than $16 million.</w:t>
      </w:r>
      <w:r>
        <w:t xml:space="preserve"> </w:t>
      </w:r>
    </w:p>
    <w:p w:rsidR="007F1EF5" w:rsidP="00C214F1" w:rsidRDefault="00C214F1">
      <w:pPr>
        <w:pStyle w:val="ListParagraph"/>
      </w:pPr>
      <w:r>
        <w:rPr>
          <w:i/>
        </w:rPr>
        <w:t>Reward Health Sciences Inc. v. The Cleveland Clinic Foundation</w:t>
      </w:r>
      <w:r>
        <w:t xml:space="preserve"> </w:t>
      </w:r>
      <w:r>
        <w:t>, Cuyahoga County Court of Common Pleas No. CV-20-932766 (2022), and Eighth District Court of Appeals No. CA-22-112106 (2023). Obtained summary judgment on Plaintiff’s claim of breach of contract and obtained dismissal of attempted appeal.</w:t>
      </w:r>
      <w:r>
        <w:t xml:space="preserve"> </w:t>
      </w:r>
    </w:p>
    <w:p w:rsidR="007F1EF5" w:rsidP="00C214F1" w:rsidRDefault="00C214F1">
      <w:pPr>
        <w:pStyle w:val="ListParagraph"/>
      </w:pPr>
      <w:r>
        <w:rPr>
          <w:i/>
        </w:rPr>
        <w:t>Enduring Wellness v. Michael Roizen, M.D. and Cleveland Clinic Wellness Enterprise, LLC,</w:t>
      </w:r>
      <w:r>
        <w:t xml:space="preserve"> </w:t>
      </w:r>
      <w:r>
        <w:t> Cuyahoga County Court of Common Pleas No. CV-19-909042 (2019), and Eighth District Court of Appeals No. CA-19-108681 (2020). Obtained dismissal of multi-count complaint alleging breach of contract, tortious interference with contract, fraud, and violations of the Ohio Deceptive Trade Practices Act and obtained affirmance on appeal.</w:t>
      </w:r>
      <w:r>
        <w:t xml:space="preserve"> </w:t>
      </w:r>
    </w:p>
    <w:p w:rsidR="007F1EF5" w:rsidP="00C214F1" w:rsidRDefault="00C214F1">
      <w:pPr>
        <w:pStyle w:val="ListParagraph"/>
      </w:pPr>
      <w:r>
        <w:rPr>
          <w:i/>
        </w:rPr>
        <w:t>Abercrombie v. Aetna Health, Inc.</w:t>
      </w:r>
      <w:r>
        <w:t xml:space="preserve"> </w:t>
      </w:r>
      <w:r>
        <w:t>, U.S. District Court for the District of Colorado No. 1:15-CV-00994 (2016), and Tenth Circuit Court of Appeals No. 16-1152 (2017). Obtained dismissal of action against health insurer for claim that insurer violated state statute since 1970s through its reimbursement of chiropractors; dismissal upheld on appeal.</w:t>
      </w:r>
      <w:r>
        <w:t xml:space="preserve"> </w:t>
      </w:r>
    </w:p>
    <w:p w:rsidR="007F1EF5" w:rsidP="00C214F1" w:rsidRDefault="00C214F1">
      <w:pPr>
        <w:pStyle w:val="ListParagraph"/>
      </w:pPr>
      <w:r>
        <w:rPr>
          <w:i/>
        </w:rPr>
        <w:t>Bourbon Cmty. Hosp. v. Coventry Health and Life Ins. Co.</w:t>
      </w:r>
      <w:r>
        <w:t xml:space="preserve"> </w:t>
      </w:r>
      <w:r>
        <w:t>, U.S. District Court for the Western District of Kentucky No. 3:15-cv-00455 (2016). Obtained dismissal of action against Medicaid managed care organization for breach of contract and statutory violations for reimbursement policy regarding emergency department claims.</w:t>
      </w:r>
      <w:r>
        <w:t xml:space="preserve"> </w:t>
      </w:r>
    </w:p>
    <w:p w:rsidR="007F1EF5" w:rsidP="00C214F1" w:rsidRDefault="00C214F1">
      <w:pPr>
        <w:pStyle w:val="ListParagraph"/>
      </w:pPr>
      <w:r>
        <w:rPr>
          <w:i/>
        </w:rPr>
        <w:t>IPI II LLC v. The Cleveland Clinic Foundation</w:t>
      </w:r>
      <w:r>
        <w:t xml:space="preserve"> </w:t>
      </w:r>
      <w:r>
        <w:t>, Cuyahoga County Court of Common Pleas No. CV-12-786463 (2013) and Eight District Court of Appeals Nos. CA-13-099988 and CA-13-099898 (2014). Successfully defeated commercial replevin against health care provider, obtained summary judgment and obtained affirmance on appeal.</w:t>
      </w:r>
      <w:r>
        <w:t xml:space="preserve"> </w:t>
      </w:r>
    </w:p>
    <w:p w:rsidR="007F1EF5" w:rsidP="00C214F1" w:rsidRDefault="00C214F1">
      <w:pPr>
        <w:pStyle w:val="ListParagraph"/>
      </w:pPr>
      <w:r>
        <w:rPr>
          <w:i/>
        </w:rPr>
        <w:t>Chultem v. Ticor Title Ins. Co.</w:t>
      </w:r>
      <w:r>
        <w:t xml:space="preserve"> </w:t>
      </w:r>
      <w:r>
        <w:t> and </w:t>
      </w:r>
      <w:r>
        <w:t xml:space="preserve"> </w:t>
      </w:r>
      <w:r>
        <w:rPr>
          <w:i/>
        </w:rPr>
        <w:t>Colella v. Chicago Title Ins. Co.</w:t>
      </w:r>
      <w:r>
        <w:t xml:space="preserve"> </w:t>
      </w:r>
      <w:r>
        <w:t>, Cook County, Illinois (2013). Obtained complete defense verdict in bench trial of two consolidated statewide class actions alleging RESPA, Illinois Title Insurance Act, and Illinois Consumer Fraud Act violations and seeking $250 million, plus trebling.</w:t>
      </w:r>
      <w:r>
        <w:t xml:space="preserve"> </w:t>
      </w:r>
    </w:p>
    <w:p w:rsidR="007F1EF5" w:rsidP="00C214F1" w:rsidRDefault="00C214F1">
      <w:pPr>
        <w:pStyle w:val="ListParagraph"/>
      </w:pPr>
      <w:r>
        <w:rPr>
          <w:i/>
        </w:rPr>
        <w:t>Bushbeck v. Chicago Title Ins. Co.</w:t>
      </w:r>
      <w:r>
        <w:t xml:space="preserve"> </w:t>
      </w:r>
      <w:r>
        <w:t>, U. District Court for the Western District of Washington No. C08-755-JLR (2011 and 2012). Defeated two class certification motions in a nationwide RESPA and consumer fraud class action.</w:t>
      </w:r>
      <w:r>
        <w:t xml:space="preserve"> </w:t>
      </w:r>
    </w:p>
    <w:p w:rsidR="007F1EF5" w:rsidP="00C214F1" w:rsidRDefault="00C214F1">
      <w:pPr>
        <w:pStyle w:val="ListParagraph"/>
      </w:pPr>
      <w:r>
        <w:rPr>
          <w:i/>
        </w:rPr>
        <w:t>Maxus Capital v. TIMCO</w:t>
      </w:r>
      <w:r>
        <w:t xml:space="preserve"> </w:t>
      </w:r>
      <w:r>
        <w:t>, Cuyahoga County Court of Common Pleas, Ohio No. CV-11-750485, and Guilford County Superior Court, North Carolina No. 11 CVS 4152 (2011). Obtained commercial replevin of jet engine refurbishing equipment, while defending companion case in North Carolina.</w:t>
      </w:r>
      <w:r>
        <w:t xml:space="preserve"> </w:t>
      </w:r>
    </w:p>
    <w:p w:rsidR="007F1EF5" w:rsidP="00C214F1" w:rsidRDefault="00C214F1">
      <w:pPr>
        <w:pStyle w:val="ListParagraph"/>
      </w:pPr>
      <w:r>
        <w:rPr>
          <w:i/>
        </w:rPr>
        <w:t>Cliffs Sales Co. v. Am. Steamship Co.</w:t>
      </w:r>
      <w:r>
        <w:t xml:space="preserve"> </w:t>
      </w:r>
      <w:r>
        <w:t>, U.S. District Court for the Northern District of Ohio Nos. 1:07 CV 485, 1:07 CV 01466 (2008). Awarded $3.7 million jury verdict on commercial breach of contract claim.</w:t>
      </w:r>
      <w:r>
        <w:t xml:space="preserve"> </w:t>
      </w:r>
    </w:p>
    <w:p w:rsidR="007F1EF5" w:rsidP="00C214F1" w:rsidRDefault="00C214F1">
      <w:pPr>
        <w:pStyle w:val="Heading2"/>
      </w:pPr>
      <w:r w:rsidRPr="009328C8">
        <w:t>BAR ADMISSIONS</w:t>
      </w:r>
    </w:p>
    <w:p w:rsidR="007F1EF5" w:rsidP="00C214F1" w:rsidRDefault="00C214F1">
      <w:pPr>
        <w:pStyle w:val="ListParagraph"/>
      </w:pPr>
      <w:r>
        <w:t>State of Ohio, 2007</w:t>
      </w:r>
      <w:r>
        <w:t xml:space="preserve"> </w:t>
      </w:r>
    </w:p>
    <w:p w:rsidR="007F1EF5" w:rsidP="00C214F1" w:rsidRDefault="00C214F1">
      <w:pPr>
        <w:pStyle w:val="ListParagraph"/>
      </w:pPr>
      <w:r>
        <w:t>U.S. District Courts for the Northern District of Ohio and Southern District of Ohio</w:t>
      </w:r>
      <w:r>
        <w:t xml:space="preserve"> </w:t>
      </w:r>
    </w:p>
    <w:p w:rsidR="007F1EF5" w:rsidP="00C214F1" w:rsidRDefault="00C214F1">
      <w:pPr>
        <w:pStyle w:val="ListParagraph"/>
      </w:pPr>
      <w:r>
        <w:t>U.S. District Court for the Eastern District of Michigan</w:t>
      </w:r>
      <w:r>
        <w:t xml:space="preserve"> </w:t>
      </w:r>
    </w:p>
    <w:p w:rsidR="007F1EF5" w:rsidP="00C214F1" w:rsidRDefault="00C214F1">
      <w:pPr>
        <w:pStyle w:val="ListParagraph"/>
      </w:pPr>
      <w:r>
        <w:t>U.S. Court of Appeals for the Tenth Circuit</w:t>
      </w:r>
      <w:r>
        <w:t xml:space="preserve"> </w:t>
      </w:r>
    </w:p>
    <w:p w:rsidR="007F1EF5" w:rsidP="00C214F1" w:rsidRDefault="00C214F1">
      <w:pPr>
        <w:pStyle w:val="Heading2"/>
      </w:pPr>
      <w:r w:rsidRPr="009328C8">
        <w:t>EDUCATION</w:t>
      </w:r>
    </w:p>
    <w:p w:rsidR="007F1EF5" w:rsidP="00C214F1" w:rsidRDefault="00C214F1">
      <w:pPr>
        <w:pStyle w:val="ListParagraph"/>
      </w:pPr>
      <w:r>
        <w:t>Cleveland-Marshall College of Law, J.D., 2007</w:t>
      </w:r>
      <w:r>
        <w:t xml:space="preserve"> </w:t>
      </w:r>
    </w:p>
    <w:p w:rsidR="007F1EF5" w:rsidP="00C214F1" w:rsidRDefault="00C214F1">
      <w:pPr>
        <w:ind w:left="705"/>
      </w:pPr>
      <w:r>
        <w:t>Dean’s Scholarship; Bert &amp; Iris Wolstein Scholarship; Hispanic Law Student Association, Member</w:t>
      </w:r>
      <w:r>
        <w:t xml:space="preserve"> </w:t>
      </w:r>
    </w:p>
    <w:p w:rsidR="007F1EF5" w:rsidP="00C214F1" w:rsidRDefault="00C214F1">
      <w:pPr>
        <w:pStyle w:val="ListParagraph"/>
      </w:pPr>
      <w:r>
        <w:t>Bowling Green State University, B.A., History and Asian Studies, 2003</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Commercial Litigation, 2024-25</w:t>
      </w:r>
      <w:r>
        <w:t xml:space="preserve"> </w:t>
      </w:r>
    </w:p>
    <w:p w:rsidR="007F1EF5" w:rsidP="00C214F1" w:rsidRDefault="00C214F1">
      <w:pPr>
        <w:pStyle w:val="ListParagraph"/>
      </w:pPr>
      <w:r>
        <w:t>Crain’s Notable Latin Leaders, Crain’s Cleveland Business, 2023</w:t>
      </w:r>
      <w:r>
        <w:t xml:space="preserve"> </w:t>
      </w:r>
    </w:p>
    <w:p w:rsidR="007F1EF5" w:rsidP="00C214F1" w:rsidRDefault="00C214F1">
      <w:pPr>
        <w:pStyle w:val="ListParagraph"/>
      </w:pPr>
      <w:r>
        <w:t>Leadership Cleveland, Class of 2020</w:t>
      </w:r>
      <w:r>
        <w:t xml:space="preserve"> </w:t>
      </w:r>
    </w:p>
    <w:p w:rsidR="007F1EF5" w:rsidP="00C214F1" w:rsidRDefault="00C214F1">
      <w:pPr>
        <w:pStyle w:val="ListParagraph"/>
      </w:pPr>
      <w:r>
        <w:t>Forty Under 40 Honoree, Crain’s Cleveland Business, 2018</w:t>
      </w:r>
      <w:r>
        <w:t xml:space="preserve"> </w:t>
      </w:r>
    </w:p>
    <w:p w:rsidR="007F1EF5" w:rsidP="00C214F1" w:rsidRDefault="00C214F1">
      <w:pPr>
        <w:pStyle w:val="ListParagraph"/>
      </w:pPr>
      <w:r>
        <w:t>Rising Star, Ohio Super Lawyers®, 2014-17</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Governor DeWine Signs Into Law House Bill 197 Tolling Certain Time Limits in Civil, Criminal, and Administrative Actions and Proceedings</w:t>
      </w:r>
      <w:r>
        <w:t xml:space="preserve"> </w:t>
      </w:r>
    </w:p>
    <w:p w:rsidR="007F1EF5" w:rsidP="00C214F1" w:rsidRDefault="00C214F1">
      <w:pPr>
        <w:pStyle w:val="Heading2"/>
      </w:pPr>
      <w:r w:rsidRPr="009328C8">
        <w:t>MEMBERSHIPS &amp; AFFILIATIONS</w:t>
      </w:r>
    </w:p>
    <w:p w:rsidR="007F1EF5" w:rsidP="00C214F1" w:rsidRDefault="00C214F1">
      <w:pPr>
        <w:pStyle w:val="ListParagraph"/>
      </w:pPr>
      <w:r>
        <w:t>Ohio Bar Association, Member</w:t>
      </w:r>
      <w:r>
        <w:t xml:space="preserve"> </w:t>
      </w:r>
    </w:p>
    <w:p w:rsidR="007F1EF5" w:rsidP="00C214F1" w:rsidRDefault="00C214F1">
      <w:pPr>
        <w:pStyle w:val="ListParagraph"/>
      </w:pPr>
      <w:r>
        <w:t>Cleveland Metropolitan Bar Association, Member</w:t>
      </w:r>
      <w:r>
        <w:t xml:space="preserve"> </w:t>
      </w:r>
    </w:p>
    <w:p w:rsidR="007F1EF5" w:rsidP="00C214F1" w:rsidRDefault="00C214F1">
      <w:pPr>
        <w:pStyle w:val="ListParagraph"/>
      </w:pPr>
      <w:r>
        <w:t>Hispanic National Bar Association, Member</w:t>
      </w:r>
      <w:r>
        <w:t xml:space="preserve"> </w:t>
      </w:r>
    </w:p>
    <w:p w:rsidR="007F1EF5" w:rsidP="00C214F1" w:rsidRDefault="00C214F1">
      <w:pPr>
        <w:pStyle w:val="Heading2"/>
      </w:pPr>
      <w:r w:rsidRPr="009328C8">
        <w:t>COMMUNITY INVOLVEMENT</w:t>
      </w:r>
    </w:p>
    <w:p w:rsidR="007F1EF5" w:rsidP="00C214F1" w:rsidRDefault="00C214F1">
      <w:pPr>
        <w:pStyle w:val="ListParagraph"/>
      </w:pPr>
      <w:r>
        <w:t>Epilepsy Association, Board of Directors, 2013-present; President of the Board of Directors, 2020-2022</w:t>
      </w:r>
      <w:r>
        <w:t xml:space="preserve"> </w:t>
      </w:r>
    </w:p>
    <w:p w:rsidR="007F1EF5" w:rsidP="00C214F1" w:rsidRDefault="00C214F1">
      <w:pPr>
        <w:pStyle w:val="ListParagraph"/>
      </w:pPr>
      <w:r>
        <w:t>Cleveland Public Theater, Board of Directors, 2025</w:t>
      </w:r>
      <w:r>
        <w:t xml:space="preserve"> </w:t>
      </w:r>
    </w:p>
    <w:p w:rsidR="007F1EF5" w:rsidP="00C214F1" w:rsidRDefault="00C214F1">
      <w:pPr>
        <w:pStyle w:val="Heading2"/>
      </w:pPr>
      <w:r w:rsidRPr="009328C8">
        <w:t>Professional History</w:t>
      </w:r>
    </w:p>
    <w:p w:rsidR="007F1EF5" w:rsidP="00C214F1" w:rsidRDefault="00C214F1">
      <w:pPr>
        <w:pStyle w:val="ListParagraph"/>
      </w:pPr>
      <w:r>
        <w:t>Partner, Hahn Loeser &amp; Parks LLP, 2016-present; Associate, 2007-15; Summer Associate, 2005-06</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