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Christopher B. Wick</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216.274.2489</w:t>
            </w:r>
            <w:br/>
            <w:r>
              <w:rPr>
                <w:color w:val="337CB4"/>
              </w:rPr>
              <w:t xml:space="preserve">email </w:t>
            </w:r>
            <w:r>
              <w:rPr/>
              <w:t xml:space="preserve"> cwick@hahnlaw.com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Business Law, Restructuring, Bankruptcy and Insolvency</w:t>
            </w:r>
          </w:p>
        </w:tc>
      </w:tr>
    </w:tbl>
    <w:tbl>
      <w:tblGrid>
        <w:gridCol/>
      </w:tblGrid>
      <w:tr>
        <w:trPr/>
        <w:tc>
          <w:tcPr>
            <w:noWrap/>
          </w:tcPr>
          <w:p>
            <w:pPr/>
            <w:r>
              <w:rPr/>
              <w:t xml:space="preserve">Christopher B. Wick chairs the firm’s Commercial Services &amp; Restructuring Practice Group. Chris frequently finds solutions for clients in corporate restructuring and bankruptcy and focuses his practice on corporate reorganizations, workouts, debtors’ and creditors’ rights and corporate transactions across the United States. He has represented parties in the restructuring, reorganization or sale of complex business in various industries, including energy, automotive, agriculture, telecommunications, logistics, manufacturing, real estate and steel. He also has a broad range of transactional experience and has advised clients in connection with a variety of DIP financing facilities, recapitalization transactions and asset dispositions and acquisitions.  Chris also has extensive experience in commercial loan enforcement.</w:t>
            </w:r>
          </w:p>
          <w:p>
            <w:pPr/>
            <w:r>
              <w:rPr/>
              <w:t xml:space="preserve">Chris has substantial experience representing and advising companies, buyers and investors in all aspects of distressed and insolvency situations. He counsels boards of directors, chief executive offices and other members of senior management with respect to their duties and obligations to and exposures in connection with financially challenged companies.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rPr>
          <w:i/>
        </w:rPr>
        <w:t>In re Windstream Holdings, Inc.</w:t>
      </w:r>
      <w:r>
        <w:t xml:space="preserve"> </w:t>
      </w:r>
      <w:r>
        <w:rPr>
          <w:i/>
        </w:rPr>
        <w:t xml:space="preserve"> al.</w:t>
      </w:r>
      <w:r>
        <w:t xml:space="preserve"> </w:t>
      </w:r>
      <w:r>
        <w:t>, Case No. 19-22312, United States Bankruptcy Court for the Southern District of New York – Represent Crown Castle as a member of the Official Committee of Unsecured Creditors, including the negotiation of an $11.8 million cure claim dispute arising out of the debtors’ desire to continue their relationship with Crown Castle.</w:t>
      </w:r>
      <w:r>
        <w:t xml:space="preserve"> </w:t>
      </w:r>
    </w:p>
    <w:p w:rsidR="007F1EF5" w:rsidP="00C214F1" w:rsidRDefault="00C214F1">
      <w:pPr>
        <w:pStyle w:val="ListParagraph"/>
      </w:pPr>
      <w:r>
        <w:rPr>
          <w:i/>
        </w:rPr>
        <w:t>In re Alpha Entertainment, LLC</w:t>
      </w:r>
      <w:r>
        <w:t xml:space="preserve"> </w:t>
      </w:r>
      <w:r>
        <w:t>; Case No. 20-10940 – United States Bankruptcy Court for the District of Delaware – Represent Crown Castle in an executory contract rejection dispute.</w:t>
      </w:r>
      <w:r>
        <w:t xml:space="preserve"> </w:t>
      </w:r>
    </w:p>
    <w:p w:rsidR="007F1EF5" w:rsidP="00C214F1" w:rsidRDefault="00C214F1">
      <w:pPr>
        <w:pStyle w:val="ListParagraph"/>
      </w:pPr>
      <w:r>
        <w:rPr>
          <w:i/>
        </w:rPr>
        <w:t>In re Frontier Communications Corporation, et. al.</w:t>
      </w:r>
      <w:r>
        <w:t xml:space="preserve"> </w:t>
      </w:r>
      <w:r>
        <w:t>; Case No. 20-22476, United States Bankruptcy Court for the Southern District of New York – Represent Crown Castle as a general unsecured trade creditor in the bankruptcy case of a national provider of telecommunications services in 29 states and the country’s fourth largest incumbent local exchange carrier (“ILEC”).</w:t>
      </w:r>
      <w:r>
        <w:t xml:space="preserve"> </w:t>
      </w:r>
    </w:p>
    <w:p w:rsidR="007F1EF5" w:rsidP="00C214F1" w:rsidRDefault="00C214F1">
      <w:pPr>
        <w:pStyle w:val="ListParagraph"/>
      </w:pPr>
      <w:r>
        <w:rPr>
          <w:i/>
        </w:rPr>
        <w:t>In re Speedcast International Limited, et. al.</w:t>
      </w:r>
      <w:r>
        <w:t xml:space="preserve"> </w:t>
      </w:r>
      <w:r>
        <w:t>; Case No. 20-32243, United States Bankruptcy Court for the Southern District of Texas – Represent Crown Castle in chapter 11 bankruptcy of satellite technology company, including the assumption of Crown Castle’s executory contracts and payment of its cure claim.</w:t>
      </w:r>
      <w:r>
        <w:t xml:space="preserve"> </w:t>
      </w:r>
    </w:p>
    <w:p w:rsidR="007F1EF5" w:rsidP="00C214F1" w:rsidRDefault="00C214F1">
      <w:pPr>
        <w:pStyle w:val="ListParagraph"/>
      </w:pPr>
      <w:r>
        <w:rPr>
          <w:i/>
        </w:rPr>
        <w:t>In re Point.</w:t>
      </w:r>
      <w:r>
        <w:t xml:space="preserve"> </w:t>
      </w:r>
      <w:r>
        <w:t>360; Case No. 17-22432; United States Bankruptcy Court for the Central District of California – Represent Crown Castle Fiber in the chapter 11 bankruptcy of a video post-production company, including the assumption of Crown Castle’s executory contracts and payment of significant unpaid invoices.</w:t>
      </w:r>
      <w:r>
        <w:t xml:space="preserve"> </w:t>
      </w:r>
    </w:p>
    <w:p w:rsidR="007F1EF5" w:rsidP="00C214F1" w:rsidRDefault="00C214F1">
      <w:pPr>
        <w:pStyle w:val="ListParagraph"/>
      </w:pPr>
      <w:r>
        <w:t>In re Limitless Mobile, LLC, Case No. 16-12685, United States Bankruptcy Court of Delaware – Represent cell phone tower provider in Chapter 11 Bankruptcy of a rural wireless provider in Harrisburg, PA, including position on the official Committee of Unsecured Creditors and the Post Confirmation Liquidating Trust.</w:t>
      </w:r>
      <w:r>
        <w:t xml:space="preserve"> </w:t>
      </w:r>
    </w:p>
    <w:p w:rsidR="007F1EF5" w:rsidP="00C214F1" w:rsidRDefault="00C214F1">
      <w:pPr>
        <w:pStyle w:val="ListParagraph"/>
      </w:pPr>
      <w:r>
        <w:t>In re D&amp;L Energy Inc., Case No. 13-40813, United States Bankruptcy Court for the Northern District of Ohio – Represents an oil and gas exploration and production company participating in certain joint ventures with the debtor entity, which has undertaken an effort to sell its assets.</w:t>
      </w:r>
      <w:r>
        <w:t xml:space="preserve"> </w:t>
      </w:r>
    </w:p>
    <w:p w:rsidR="007F1EF5" w:rsidP="00C214F1" w:rsidRDefault="00C214F1">
      <w:pPr>
        <w:pStyle w:val="ListParagraph"/>
      </w:pPr>
      <w:r>
        <w:t>In re Casa Media Partners, LLC; case 15-16741; U.S. Bankruptcy Court of Southern District of Florida.</w:t>
      </w:r>
      <w:r>
        <w:t xml:space="preserve"> </w:t>
      </w:r>
    </w:p>
    <w:p w:rsidR="007F1EF5" w:rsidP="00C214F1" w:rsidRDefault="00C214F1">
      <w:pPr>
        <w:pStyle w:val="ListParagraph"/>
      </w:pPr>
      <w:r>
        <w:t>Arch Coal, Inc. case No. 16-40120, U.S., Bankruptcy Court for the Eastern District of Missouri, Eastern Division.</w:t>
      </w:r>
      <w:r>
        <w:t xml:space="preserve"> </w:t>
      </w:r>
    </w:p>
    <w:p w:rsidR="007F1EF5" w:rsidP="00C214F1" w:rsidRDefault="00C214F1">
      <w:pPr>
        <w:pStyle w:val="ListParagraph"/>
      </w:pPr>
      <w:r>
        <w:t>Ariana Energy, LLC, case No. 14-51199-6RS, U.S. Bankruptcy Eastern District of Kentucky, Lexington.</w:t>
      </w:r>
      <w:r>
        <w:t xml:space="preserve"> </w:t>
      </w:r>
    </w:p>
    <w:p w:rsidR="007F1EF5" w:rsidP="00C214F1" w:rsidRDefault="00C214F1">
      <w:pPr>
        <w:pStyle w:val="ListParagraph"/>
      </w:pPr>
      <w:r>
        <w:t>In re Stelera Wireless LLC, Case No. 13-13267, United States Bankruptcy Court for the Western District of Oklahoma – Represents a cell phone tower provider in the liquidation of a rural wireless communications network.</w:t>
      </w:r>
      <w:r>
        <w:t xml:space="preserve"> </w:t>
      </w:r>
    </w:p>
    <w:p w:rsidR="007F1EF5" w:rsidP="00C214F1" w:rsidRDefault="00C214F1">
      <w:pPr>
        <w:pStyle w:val="ListParagraph"/>
      </w:pPr>
      <w:r>
        <w:t>In re Evans Oil Company, et. al., Case No. 9:11 – bk – 01515, United States Bankruptcy Court for the Middle District of Florida – Represented Debtors in the restructuring of $35 million of secured debt and sale of the business entities.</w:t>
      </w:r>
      <w:r>
        <w:t xml:space="preserve"> </w:t>
      </w:r>
    </w:p>
    <w:p w:rsidR="007F1EF5" w:rsidP="00C214F1" w:rsidRDefault="00C214F1">
      <w:pPr>
        <w:pStyle w:val="ListParagraph"/>
      </w:pPr>
      <w:r>
        <w:t>In re Maritime Communications/Land Mobile, LLC Case No: 11-13463; United States Bankruptcy Court for the Northern District of Mississippi – Represents a cell phone tower provider in the sale of a wireless communications network.</w:t>
      </w:r>
      <w:r>
        <w:t xml:space="preserve"> </w:t>
      </w:r>
    </w:p>
    <w:p w:rsidR="007F1EF5" w:rsidP="00C214F1" w:rsidRDefault="00C214F1">
      <w:pPr>
        <w:pStyle w:val="ListParagraph"/>
      </w:pPr>
      <w:r>
        <w:t>In re Arts Dairy LLC, Case No. 09-32386, United States Bankruptcy Court for the Northern District of Ohio – Representing the secured lender to dairy farm operations of several-million-dollar credit.</w:t>
      </w:r>
      <w:r>
        <w:t xml:space="preserve"> </w:t>
      </w:r>
    </w:p>
    <w:p w:rsidR="007F1EF5" w:rsidP="00C214F1" w:rsidRDefault="00C214F1">
      <w:pPr>
        <w:pStyle w:val="ListParagraph"/>
      </w:pPr>
      <w:r>
        <w:t>AgStar Financial Services, FLCA. Plaintiffs in several Federal Court foreclosures and receiverships in the Federal District Court for the Northern District of Ohio and Northern District of Indiana.</w:t>
      </w:r>
      <w:r>
        <w:t xml:space="preserve"> </w:t>
      </w:r>
    </w:p>
    <w:p w:rsidR="007F1EF5" w:rsidP="00C214F1" w:rsidRDefault="00C214F1">
      <w:pPr>
        <w:pStyle w:val="ListParagraph"/>
      </w:pPr>
      <w:r>
        <w:t>In re Metalworks et. al., Case No. CV-09-687448, Cuyahoga County Ohio Court of Common Pleas – Represented a Tier 2 automotive supplier company in its restructuring and ultimate payout of its secured lender’s $35 million debt. In March 2009, filed state court dissolution proceeding to effectuate the sale of remaining assets, resulting in a substantial recovery for unsecured creditors.</w:t>
      </w:r>
      <w:r>
        <w:t xml:space="preserve"> </w:t>
      </w:r>
    </w:p>
    <w:p w:rsidR="007F1EF5" w:rsidP="00C214F1" w:rsidRDefault="00C214F1">
      <w:pPr>
        <w:pStyle w:val="ListParagraph"/>
      </w:pPr>
      <w:r>
        <w:t>In re Zohar Waterworks, LLC, Case No. 09-11179, United States Bankruptcy Court for the District of Delaware – Represented a privately held leasing firm in Delaware Chapter 11 case in which the debtor had leased assets from a $20 million sale leaseback transaction.</w:t>
      </w:r>
      <w:r>
        <w:t xml:space="preserve"> </w:t>
      </w:r>
    </w:p>
    <w:p w:rsidR="007F1EF5" w:rsidP="00C214F1" w:rsidRDefault="00C214F1">
      <w:pPr>
        <w:pStyle w:val="ListParagraph"/>
      </w:pPr>
      <w:r>
        <w:t>In re Kiebler Recreation LLC, Case No. 10-15099, United States Bankruptcy Court for the Northern District of Ohio – Represented the unsecured creditors’ committee in a New York located ski resort.</w:t>
      </w:r>
      <w:r>
        <w:t xml:space="preserve"> </w:t>
      </w:r>
    </w:p>
    <w:p w:rsidR="007F1EF5" w:rsidP="00C214F1" w:rsidRDefault="00C214F1">
      <w:pPr>
        <w:pStyle w:val="ListParagraph"/>
      </w:pPr>
      <w:r>
        <w:t>Advantage Renovations, Inc. v. Maui Sands Resort Co., LLC, Case No. 08-CV0894 in the Erie County, Ohio Court of Common Pleas – Represent receiver of a failed water park/hotel resort.</w:t>
      </w:r>
      <w:r>
        <w:t xml:space="preserve"> </w:t>
      </w:r>
    </w:p>
    <w:p w:rsidR="007F1EF5" w:rsidP="00C214F1" w:rsidRDefault="00C214F1">
      <w:pPr>
        <w:pStyle w:val="ListParagraph"/>
      </w:pPr>
      <w:r>
        <w:t>Other Chapter 11 bankruptcy representations include Nippon Electric Glass America, Inc. (Debtor); Horizon PCS Inc. (trade creditor, unsecured creditors’ committee); Weirton Steel Corporation (trade creditor, unsecured creditors’ committee member); Republic Engineered Products (secured lenders); Quaker City Castings (unsecured creditors’ committee); Ohio Cast Products (unsecured creditors’ committee); and National Century Financial Enterprises Inc. (litigant/creditor).</w:t>
      </w:r>
      <w:r>
        <w:t xml:space="preserve"> </w:t>
      </w:r>
    </w:p>
    <w:p w:rsidR="007F1EF5" w:rsidP="00C214F1" w:rsidRDefault="00C214F1">
      <w:pPr>
        <w:pStyle w:val="ListParagraph"/>
      </w:pPr>
      <w:r>
        <w:t>Recent Chapter 11 bankruptcy representations also include Nippon Electric Glass America, Inc. (Debtor); Horizon PCS, Inc. (trade creditor, unsecured creditors’ committee); Weirton Steel Corporation (trade creditor, unsecured creditors’ committee member); Republic Engineered Products (secured lenders); Quaker City Castings (unsecured creditors’ committee); Ohio Cast Products (unsecured creditors’ committee); and National Century Financial Enterprises, Inc. (Litigant/Creditor).</w:t>
      </w:r>
      <w:r>
        <w:t xml:space="preserve"> </w:t>
      </w:r>
    </w:p>
    <w:p w:rsidR="007F1EF5" w:rsidP="00C214F1" w:rsidRDefault="00C214F1">
      <w:pPr>
        <w:pStyle w:val="Heading2"/>
      </w:pPr>
      <w:r w:rsidRPr="009328C8">
        <w:t>BAR ADMISSIONS</w:t>
      </w:r>
    </w:p>
    <w:p w:rsidR="007F1EF5" w:rsidP="00C214F1" w:rsidRDefault="00C214F1">
      <w:pPr>
        <w:pStyle w:val="ListParagraph"/>
      </w:pPr>
      <w:r>
        <w:t>State of Ohio, 2000</w:t>
      </w:r>
      <w:r>
        <w:t xml:space="preserve"> </w:t>
      </w:r>
    </w:p>
    <w:p w:rsidR="007F1EF5" w:rsidP="00C214F1" w:rsidRDefault="00C214F1">
      <w:pPr>
        <w:pStyle w:val="ListParagraph"/>
      </w:pPr>
      <w:r>
        <w:t>U.S. District Courts for the Northern District of Ohio, Southern District of Ohio, Western District of Michigan, Southern District of Indiana; U.S. Court of Appeals for the Sixth Circuit</w:t>
      </w:r>
      <w:r>
        <w:t xml:space="preserve"> </w:t>
      </w:r>
    </w:p>
    <w:p w:rsidR="007F1EF5" w:rsidP="00C214F1" w:rsidRDefault="00C214F1">
      <w:pPr>
        <w:pStyle w:val="Heading2"/>
      </w:pPr>
      <w:r w:rsidRPr="009328C8">
        <w:t>EDUCATION</w:t>
      </w:r>
    </w:p>
    <w:p w:rsidR="007F1EF5" w:rsidP="00C214F1" w:rsidRDefault="00C214F1">
      <w:pPr>
        <w:pStyle w:val="ListParagraph"/>
      </w:pPr>
      <w:r>
        <w:t>Washington and Lee School of Law, J.D., 2000</w:t>
      </w:r>
      <w:r>
        <w:t xml:space="preserve"> </w:t>
      </w:r>
    </w:p>
    <w:p w:rsidR="007F1EF5" w:rsidP="00C214F1" w:rsidRDefault="00C214F1">
      <w:pPr>
        <w:ind w:left="705"/>
      </w:pPr>
      <w:r>
        <w:t>First prize, 2000 ASCAP Nathan Burkan Memorial; Honor Advocate for University-wide honor system; 2000 Mock Convention, Speaker Chairman; 1999 Negotiation Competition Semifinalist; Volunteer Income Tax Assistance (VITA)</w:t>
      </w:r>
      <w:r>
        <w:t xml:space="preserve"> </w:t>
      </w:r>
    </w:p>
    <w:p w:rsidR="007F1EF5" w:rsidP="00C214F1" w:rsidRDefault="00C214F1">
      <w:pPr>
        <w:pStyle w:val="ListParagraph"/>
      </w:pPr>
      <w:r>
        <w:t>Washington and Lee University, B.A., Print Journalism and European History, 1997</w:t>
      </w:r>
      <w:r>
        <w:t xml:space="preserve"> </w:t>
      </w:r>
    </w:p>
    <w:p w:rsidR="007F1EF5" w:rsidP="00C214F1" w:rsidRDefault="00C214F1">
      <w:pPr>
        <w:ind w:left="705"/>
      </w:pPr>
      <w:r>
        <w:t>The Trident, Executive Editor; Student Activities Board, Vice-President</w:t>
      </w:r>
      <w:r>
        <w:t xml:space="preserve"> </w:t>
      </w:r>
    </w:p>
    <w:p w:rsidR="007F1EF5" w:rsidP="00C214F1" w:rsidRDefault="00C214F1">
      <w:pPr>
        <w:pStyle w:val="Heading2"/>
      </w:pPr>
      <w:r w:rsidRPr="009328C8">
        <w:t>AWARDS &amp; HONORS</w:t>
      </w:r>
    </w:p>
    <w:p w:rsidR="007F1EF5" w:rsidP="00C214F1" w:rsidRDefault="00C214F1">
      <w:pPr>
        <w:pStyle w:val="ListParagraph"/>
      </w:pPr>
      <w:r>
        <w:t>ChambersUSA, Bankruptcy/ Restructuring, 2015-25</w:t>
      </w:r>
      <w:r>
        <w:t xml:space="preserve"> </w:t>
      </w:r>
    </w:p>
    <w:p w:rsidR="007F1EF5" w:rsidP="00C214F1" w:rsidRDefault="00C214F1">
      <w:pPr>
        <w:pStyle w:val="ListParagraph"/>
      </w:pPr>
      <w:r>
        <w:t>The Best Lawyers in America®, Bankruptcy and Creditor Debtor Rights/Insolvency, 2016-25, Corporate Law, 2024-25, Energy Law, 2025</w:t>
      </w:r>
      <w:r>
        <w:t xml:space="preserve"> </w:t>
      </w:r>
    </w:p>
    <w:p w:rsidR="007F1EF5" w:rsidP="00C214F1" w:rsidRDefault="00C214F1">
      <w:pPr>
        <w:pStyle w:val="ListParagraph"/>
      </w:pPr>
      <w:r>
        <w:t>Ohio Super Lawyers®, 2014-25</w:t>
      </w:r>
      <w:r>
        <w:t xml:space="preserve"> </w:t>
      </w:r>
    </w:p>
    <w:p w:rsidR="007F1EF5" w:rsidP="00C214F1" w:rsidRDefault="00C214F1">
      <w:pPr>
        <w:pStyle w:val="ListParagraph"/>
      </w:pPr>
      <w:r>
        <w:t>Rising Star, Ohio Super Lawyers®, 2001-06, 2010-13</w:t>
      </w:r>
      <w:r>
        <w:t xml:space="preserve"> </w:t>
      </w:r>
    </w:p>
    <w:p w:rsidR="007F1EF5" w:rsidP="00C214F1" w:rsidRDefault="00C214F1">
      <w:pPr>
        <w:pStyle w:val="ListParagraph"/>
      </w:pPr>
      <w:r>
        <w:t>Cleveland Bridge Builders, Class of 2007</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The Intersection of Bankruptcy and Intellectual Property Law (Financial Poise)</w:t>
      </w:r>
      <w:r>
        <w:t xml:space="preserve"> </w:t>
      </w:r>
    </w:p>
    <w:p w:rsidR="007F1EF5" w:rsidP="00C214F1" w:rsidRDefault="00C214F1">
      <w:pPr>
        <w:pStyle w:val="ListParagraph"/>
      </w:pPr>
      <w:r>
        <w:t>Christopher B. Wick a Featured Presenter at Mid-Atlantic Bankruptcy Workshop</w:t>
      </w:r>
      <w:r>
        <w:t xml:space="preserve"> </w:t>
      </w:r>
    </w:p>
    <w:p w:rsidR="007F1EF5" w:rsidP="00C214F1" w:rsidRDefault="00C214F1">
      <w:pPr>
        <w:pStyle w:val="ListParagraph"/>
      </w:pPr>
      <w:r>
        <w:t>Ohio: An Introduction to Bankruptcy/Restructuring (Chambers)</w:t>
      </w:r>
      <w:r>
        <w:t xml:space="preserve"> </w:t>
      </w:r>
    </w:p>
    <w:p w:rsidR="007F1EF5" w:rsidP="00C214F1" w:rsidRDefault="00C214F1">
      <w:pPr>
        <w:pStyle w:val="ListParagraph"/>
      </w:pPr>
      <w:r>
        <w:t>Christopher B. Wick Featured Presenter at ABI Central States Bankruptcy Workshop</w:t>
      </w:r>
      <w:r>
        <w:t xml:space="preserve"> </w:t>
      </w:r>
    </w:p>
    <w:p w:rsidR="007F1EF5" w:rsidP="00C214F1" w:rsidRDefault="00C214F1">
      <w:pPr>
        <w:pStyle w:val="ListParagraph"/>
      </w:pPr>
      <w:r>
        <w:t>Congress Reopens the Paycheck Protection Program</w:t>
      </w:r>
      <w:r>
        <w:t xml:space="preserve"> </w:t>
      </w:r>
    </w:p>
    <w:p w:rsidR="007F1EF5" w:rsidP="00C214F1" w:rsidRDefault="00C214F1">
      <w:pPr>
        <w:pStyle w:val="ListParagraph"/>
      </w:pPr>
      <w:r>
        <w:t>The Nuts &amp; Bolts of a 363 Motion</w:t>
      </w:r>
      <w:r>
        <w:t xml:space="preserve"> </w:t>
      </w:r>
    </w:p>
    <w:p w:rsidR="007F1EF5" w:rsidP="00C214F1" w:rsidRDefault="00C214F1">
      <w:pPr>
        <w:pStyle w:val="ListParagraph"/>
      </w:pPr>
      <w:r>
        <w:t>Bankruptcy Claims Trading</w:t>
      </w:r>
      <w:r>
        <w:t xml:space="preserve"> </w:t>
      </w:r>
    </w:p>
    <w:p w:rsidR="007F1EF5" w:rsidP="00C214F1" w:rsidRDefault="00C214F1">
      <w:pPr>
        <w:pStyle w:val="ListParagraph"/>
      </w:pPr>
      <w:r>
        <w:t>Litigation Funder Monetizes Portion of Fraudulent Transfer Judgment in Cutting-Edge Transaction</w:t>
      </w:r>
      <w:r>
        <w:t xml:space="preserve"> </w:t>
      </w:r>
    </w:p>
    <w:p w:rsidR="007F1EF5" w:rsidP="00C214F1" w:rsidRDefault="00C214F1">
      <w:pPr>
        <w:pStyle w:val="ListParagraph"/>
      </w:pPr>
      <w:r>
        <w:t>You Keep Using That Word: What Good Faith Impairment Means in a Reorganization Plan</w:t>
      </w:r>
      <w:r>
        <w:t xml:space="preserve"> </w:t>
      </w:r>
    </w:p>
    <w:p w:rsidR="007F1EF5" w:rsidP="00C214F1" w:rsidRDefault="00C214F1">
      <w:pPr>
        <w:pStyle w:val="ListParagraph"/>
      </w:pPr>
      <w:r>
        <w:t>The Intersection of Intellectual Property Law and Bankruptcy Law</w:t>
      </w:r>
      <w:r>
        <w:t xml:space="preserve"> </w:t>
      </w:r>
    </w:p>
    <w:p w:rsidR="007F1EF5" w:rsidP="00C214F1" w:rsidRDefault="00C214F1">
      <w:pPr>
        <w:pStyle w:val="ListParagraph"/>
      </w:pPr>
      <w:r>
        <w:t>Bank Restructuring Challenges Current Issues in Energy Bankruptcies for the Energy Market</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Bankruptcy Institute Mid-Atlantic Conference Advisory Board, 2011-present</w:t>
      </w:r>
      <w:r>
        <w:t xml:space="preserve"> </w:t>
      </w:r>
    </w:p>
    <w:p w:rsidR="007F1EF5" w:rsidP="00C214F1" w:rsidRDefault="00C214F1">
      <w:pPr>
        <w:pStyle w:val="ListParagraph"/>
      </w:pPr>
      <w:r>
        <w:t>American Bankruptcy Institute, Member, 2004-present</w:t>
      </w:r>
      <w:r>
        <w:t xml:space="preserve"> </w:t>
      </w:r>
    </w:p>
    <w:p w:rsidR="007F1EF5" w:rsidP="00C214F1" w:rsidRDefault="00C214F1">
      <w:pPr>
        <w:pStyle w:val="ListParagraph"/>
      </w:pPr>
      <w:r>
        <w:t>Cleveland Metropolitan Bar Association, Member, 2001-present</w:t>
      </w:r>
      <w:r>
        <w:t xml:space="preserve"> </w:t>
      </w:r>
    </w:p>
    <w:p w:rsidR="007F1EF5" w:rsidP="00C214F1" w:rsidRDefault="00C214F1">
      <w:pPr>
        <w:pStyle w:val="Heading2"/>
      </w:pPr>
      <w:r w:rsidRPr="009328C8">
        <w:t>COMMUNITY INVOLVEMENT</w:t>
      </w:r>
    </w:p>
    <w:p w:rsidR="007F1EF5" w:rsidP="00C214F1" w:rsidRDefault="00C214F1">
      <w:pPr>
        <w:pStyle w:val="ListParagraph"/>
      </w:pPr>
      <w:r>
        <w:t>Friends of the Achievement Centers for Children, Board Member, 2007-2018</w:t>
      </w:r>
      <w:r>
        <w:t xml:space="preserve"> </w:t>
      </w:r>
    </w:p>
    <w:p w:rsidR="007F1EF5" w:rsidP="00C214F1" w:rsidRDefault="00C214F1">
      <w:pPr>
        <w:pStyle w:val="ListParagraph"/>
      </w:pPr>
      <w:r>
        <w:t>Habitat for Humanity, Volunteer</w:t>
      </w:r>
      <w:r>
        <w:t xml:space="preserve"> </w:t>
      </w:r>
    </w:p>
    <w:p w:rsidR="007F1EF5" w:rsidP="00C214F1" w:rsidRDefault="00C214F1">
      <w:pPr>
        <w:pStyle w:val="ListParagraph"/>
      </w:pPr>
      <w:r>
        <w:t>Cleveland Bridge Builders, Member, Flagship Program, Class of 2007</w:t>
      </w:r>
      <w:r>
        <w:t xml:space="preserve"> </w:t>
      </w:r>
    </w:p>
    <w:p w:rsidR="007F1EF5" w:rsidP="00C214F1" w:rsidRDefault="00C214F1">
      <w:pPr>
        <w:pStyle w:val="ListParagraph"/>
      </w:pPr>
      <w:r>
        <w:t>Mayfield Sandridge Club, Member</w:t>
      </w:r>
      <w:r>
        <w:t xml:space="preserve"> </w:t>
      </w:r>
    </w:p>
    <w:p w:rsidR="007F1EF5" w:rsidP="00C214F1" w:rsidRDefault="00C214F1">
      <w:pPr>
        <w:pStyle w:val="ListParagraph"/>
      </w:pPr>
      <w:r>
        <w:t>Cleveland Metropolitan Bar Association, Bankruptcy By-Pass Program, Pro bono legal representative</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2009-present; Associate, 2003-08</w:t>
      </w:r>
      <w:r>
        <w:t xml:space="preserve"> </w:t>
      </w:r>
    </w:p>
    <w:p w:rsidR="007F1EF5" w:rsidP="00C214F1" w:rsidRDefault="00C214F1">
      <w:pPr>
        <w:pStyle w:val="ListParagraph"/>
      </w:pPr>
      <w:r>
        <w:t>Associate, Arter &amp;amp; Hadden, LLP 2001-03</w:t>
      </w:r>
      <w:r>
        <w:t xml:space="preserve"> </w:t>
      </w:r>
    </w:p>
    <w:p w:rsidR="007F1EF5" w:rsidP="00C214F1" w:rsidRDefault="00C214F1">
      <w:pPr>
        <w:pStyle w:val="ListParagraph"/>
      </w:pPr>
      <w:r>
        <w:t>Law Clerk, Honorable Judge David H. Adams, United States Bankruptcy Court, Eastern District of Virginia, 2000-01</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