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Benjamin M. Cooke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216.274.2215</w:t>
            </w:r>
            <w:br/>
            <w:r>
              <w:rPr>
                <w:color w:val="337CB4"/>
              </w:rPr>
              <w:t xml:space="preserve">email </w:t>
            </w:r>
            <w:r>
              <w:rPr/>
              <w:t xml:space="preserve"> bcooke@hahnlaw.com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Succession Planning, Corporate Securities, Mergers &amp; Acquisitions, Middle Market, Business Law</w:t>
            </w:r>
          </w:p>
        </w:tc>
      </w:tr>
    </w:tbl>
    <w:tbl>
      <w:tblGrid>
        <w:gridCol/>
      </w:tblGrid>
      <w:tr>
        <w:trPr/>
        <w:tc>
          <w:tcPr>
            <w:noWrap/>
          </w:tcPr>
          <w:p>
            <w:pPr/>
            <w:r>
              <w:rPr/>
              <w:t xml:space="preserve">Benjamin Cooke is a partner in Hahn Loeser’s Business Practice Area and co-chair of the firm’s Corporate Transactions Group. He has a wide range of experience representing both private sellers and buyers in M&amp;A transactions and has advised numerous buyers in management group buyouts, corporate divestitures, and spin-offs. Benjamin represents private equity and independent deal sponsors and serves as outside general counsel to private companies both in Ohio and nationally, where he handles all contract and transactional matters including shareholder and corporate governance issues, employment and executive compensation, real estate, and business succession planning.</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Represented landfill gas and environmental services consulting business in sale to private equity buyer.</w:t>
      </w:r>
      <w:r>
        <w:t xml:space="preserve"> </w:t>
      </w:r>
    </w:p>
    <w:p w:rsidR="007F1EF5" w:rsidP="00C214F1" w:rsidRDefault="00C214F1">
      <w:pPr>
        <w:pStyle w:val="ListParagraph"/>
      </w:pPr>
      <w:r>
        <w:t>Represented independent registered investment advisors in sale of RIA firm to private equity-backed RIA firm.</w:t>
      </w:r>
      <w:r>
        <w:t xml:space="preserve"> </w:t>
      </w:r>
    </w:p>
    <w:p w:rsidR="007F1EF5" w:rsidP="00C214F1" w:rsidRDefault="00C214F1">
      <w:pPr>
        <w:pStyle w:val="ListParagraph"/>
      </w:pPr>
      <w:r>
        <w:t>Represented proprietary surgical software solutions company in its sale to an international pharmaceutical and medical device company.</w:t>
      </w:r>
      <w:r>
        <w:t xml:space="preserve"> </w:t>
      </w:r>
    </w:p>
    <w:p w:rsidR="007F1EF5" w:rsidP="00C214F1" w:rsidRDefault="00C214F1">
      <w:pPr>
        <w:pStyle w:val="ListParagraph"/>
      </w:pPr>
      <w:r>
        <w:t>Represented a provider of compliance solutions and safety products in its acquisition of a strategic competitor.</w:t>
      </w:r>
      <w:r>
        <w:t xml:space="preserve"> </w:t>
      </w:r>
    </w:p>
    <w:p w:rsidR="007F1EF5" w:rsidP="00C214F1" w:rsidRDefault="00C214F1">
      <w:pPr>
        <w:pStyle w:val="ListParagraph"/>
      </w:pPr>
      <w:r>
        <w:t>Represented a registered investment advisor firm in its acquisition of an investment advisory firm.</w:t>
      </w:r>
      <w:r>
        <w:t xml:space="preserve"> </w:t>
      </w:r>
    </w:p>
    <w:p w:rsidR="007F1EF5" w:rsidP="00C214F1" w:rsidRDefault="00C214F1">
      <w:pPr>
        <w:pStyle w:val="ListParagraph"/>
      </w:pPr>
      <w:r>
        <w:t>Represented a manufacturer of high-value industrial equipment and conveyor systems in its sale to a private equity firm.</w:t>
      </w:r>
      <w:r>
        <w:t xml:space="preserve"> </w:t>
      </w:r>
    </w:p>
    <w:p w:rsidR="007F1EF5" w:rsidP="00C214F1" w:rsidRDefault="00C214F1">
      <w:pPr>
        <w:pStyle w:val="ListParagraph"/>
      </w:pPr>
      <w:r>
        <w:t>Represented an industrial automation company in its acquisition of a strategic competitor.</w:t>
      </w:r>
      <w:r>
        <w:t xml:space="preserve"> </w:t>
      </w:r>
    </w:p>
    <w:p w:rsidR="007F1EF5" w:rsidP="00C214F1" w:rsidRDefault="00C214F1">
      <w:pPr>
        <w:pStyle w:val="ListParagraph"/>
      </w:pPr>
      <w:r>
        <w:t>Represented an independent private equity sponsor in its acquisition of an industrial automation company.</w:t>
      </w:r>
      <w:r>
        <w:t xml:space="preserve"> </w:t>
      </w:r>
    </w:p>
    <w:p w:rsidR="007F1EF5" w:rsidP="00C214F1" w:rsidRDefault="00C214F1">
      <w:pPr>
        <w:pStyle w:val="ListParagraph"/>
      </w:pPr>
      <w:r>
        <w:t>Represented an independent private equity sponsor in its acquisition of a polyurethane pump and system delivery manufacturer.</w:t>
      </w:r>
      <w:r>
        <w:t xml:space="preserve"> </w:t>
      </w:r>
    </w:p>
    <w:p w:rsidR="007F1EF5" w:rsidP="00C214F1" w:rsidRDefault="00C214F1">
      <w:pPr>
        <w:pStyle w:val="ListParagraph"/>
      </w:pPr>
      <w:r>
        <w:t>Represented a medical supply company in its sale a private equity firm.</w:t>
      </w:r>
      <w:r>
        <w:t xml:space="preserve"> </w:t>
      </w:r>
    </w:p>
    <w:p w:rsidR="007F1EF5" w:rsidP="00C214F1" w:rsidRDefault="00C214F1">
      <w:pPr>
        <w:pStyle w:val="ListParagraph"/>
      </w:pPr>
      <w:r>
        <w:t>Represented an industrial electrical contracting company in its acquisition of a strategic competitor.</w:t>
      </w:r>
      <w:r>
        <w:t xml:space="preserve"> </w:t>
      </w:r>
    </w:p>
    <w:p w:rsidR="007F1EF5" w:rsidP="00C214F1" w:rsidRDefault="00C214F1">
      <w:pPr>
        <w:pStyle w:val="ListParagraph"/>
      </w:pPr>
      <w:r>
        <w:t>Represented an outplacement and coaching firm in its sale to a global outplacement services company.</w:t>
      </w:r>
      <w:r>
        <w:t xml:space="preserve"> </w:t>
      </w:r>
    </w:p>
    <w:p w:rsidR="007F1EF5" w:rsidP="00C214F1" w:rsidRDefault="00C214F1">
      <w:pPr>
        <w:pStyle w:val="ListParagraph"/>
      </w:pPr>
      <w:r>
        <w:t>Represented a veterinary clinic in its sale to a national veterinary private equity portfolio company.</w:t>
      </w:r>
      <w:r>
        <w:t xml:space="preserve"> </w:t>
      </w:r>
    </w:p>
    <w:p w:rsidR="007F1EF5" w:rsidP="00C214F1" w:rsidRDefault="00C214F1">
      <w:pPr>
        <w:pStyle w:val="ListParagraph"/>
      </w:pPr>
      <w:r>
        <w:t>Represented petroleum, chemical and industrial equipment manufacturer and related service business in asset sale to strategic acquirer, including the additional sale of corporate-owned real estate.</w:t>
      </w:r>
      <w:r>
        <w:t xml:space="preserve">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ListParagraph"/>
      </w:pPr>
      <w:r>
        <w:t>U.S. District Court for the Northern District of Ohio</w:t>
      </w:r>
      <w:r>
        <w:t xml:space="preserve"> </w:t>
      </w:r>
    </w:p>
    <w:p w:rsidR="007F1EF5" w:rsidP="00C214F1" w:rsidRDefault="00C214F1">
      <w:pPr>
        <w:pStyle w:val="ListParagraph"/>
      </w:pPr>
      <w:r>
        <w:t>U.S. Bankruptcy Court for the Northern District of Ohio</w:t>
      </w:r>
      <w:r>
        <w:t xml:space="preserve"> </w:t>
      </w:r>
    </w:p>
    <w:p w:rsidR="007F1EF5" w:rsidP="00C214F1" w:rsidRDefault="00C214F1">
      <w:pPr>
        <w:pStyle w:val="Heading2"/>
      </w:pPr>
      <w:r w:rsidRPr="009328C8">
        <w:t>EDUCATION</w:t>
      </w:r>
    </w:p>
    <w:p w:rsidR="007F1EF5" w:rsidP="00C214F1" w:rsidRDefault="00C214F1">
      <w:pPr>
        <w:pStyle w:val="ListParagraph"/>
      </w:pPr>
      <w:r>
        <w:t>University of Dayton, J.D., 2004</w:t>
      </w:r>
      <w:r>
        <w:t xml:space="preserve"> </w:t>
      </w:r>
    </w:p>
    <w:p w:rsidR="007F1EF5" w:rsidP="00C214F1" w:rsidRDefault="00C214F1">
      <w:pPr>
        <w:ind w:left="705"/>
      </w:pPr>
      <w:r>
        <w:t>Honors &amp; Activities: Law Review, Executive Editor, 2003-04</w:t>
      </w:r>
      <w:r>
        <w:t xml:space="preserve"> </w:t>
      </w:r>
    </w:p>
    <w:p w:rsidR="007F1EF5" w:rsidP="00C214F1" w:rsidRDefault="00C214F1">
      <w:pPr>
        <w:pStyle w:val="ListParagraph"/>
      </w:pPr>
      <w:r>
        <w:t>University of Notre Dame, B.A., 2001</w:t>
      </w:r>
      <w:r>
        <w:t xml:space="preserve"> </w:t>
      </w:r>
    </w:p>
    <w:p w:rsidR="007F1EF5" w:rsidP="00C214F1" w:rsidRDefault="00C214F1">
      <w:pPr>
        <w:ind w:left="705"/>
      </w:pPr>
      <w:r>
        <w:t>Honors &amp; Activities: Four-year varsity baseball</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Corporate Governance Law, 2025-26, Corporate Law, 2024-26</w:t>
      </w:r>
      <w:r>
        <w:t xml:space="preserve"> </w:t>
      </w:r>
    </w:p>
    <w:p w:rsidR="007F1EF5" w:rsidP="00C214F1" w:rsidRDefault="00C214F1">
      <w:pPr>
        <w:pStyle w:val="ListParagraph"/>
      </w:pPr>
      <w:r>
        <w:t>Rising Star, Texas Super Lawyers®, 2008</w:t>
      </w:r>
      <w:r>
        <w:t xml:space="preserve"> </w:t>
      </w:r>
    </w:p>
    <w:p w:rsidR="007F1EF5" w:rsidP="00C214F1" w:rsidRDefault="00C214F1">
      <w:pPr>
        <w:pStyle w:val="ListParagraph"/>
      </w:pPr>
      <w:r>
        <w:t>Rising Star, Ohio Super Lawyers®, 2018-2019</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The Business Owners’ Summit (Bernstein)</w:t>
      </w:r>
      <w:r>
        <w:t xml:space="preserve"> </w:t>
      </w:r>
    </w:p>
    <w:p w:rsidR="007F1EF5" w:rsidP="00C214F1" w:rsidRDefault="00C214F1">
      <w:pPr>
        <w:pStyle w:val="ListParagraph"/>
      </w:pPr>
      <w:r>
        <w:t>Adopting AI: Insights from Legal, IT and Marketing Experts (Aztek)</w:t>
      </w:r>
      <w:r>
        <w:t xml:space="preserve"> </w:t>
      </w:r>
    </w:p>
    <w:p w:rsidR="007F1EF5" w:rsidP="00C214F1" w:rsidRDefault="00C214F1">
      <w:pPr>
        <w:pStyle w:val="ListParagraph"/>
      </w:pPr>
      <w:r>
        <w:t>Speaker, “Preparing Your Business for Sale,” Corrigan Krause Strategic Alliance Education Series, 2022</w:t>
      </w:r>
      <w:r>
        <w:t xml:space="preserve"> </w:t>
      </w:r>
    </w:p>
    <w:p w:rsidR="007F1EF5" w:rsidP="00C214F1" w:rsidRDefault="00C214F1">
      <w:pPr>
        <w:pStyle w:val="ListParagraph"/>
      </w:pPr>
      <w:r>
        <w:t>Buying and Selling a Business: Strategically Negotiating the Purchase Agreement and Acquisition Best Practices (National Business Institute)</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Alliance of M&amp;A Advisors</w:t>
      </w:r>
      <w:r>
        <w:t xml:space="preserve"> </w:t>
      </w:r>
    </w:p>
    <w:p w:rsidR="007F1EF5" w:rsidP="00C214F1" w:rsidRDefault="00C214F1">
      <w:pPr>
        <w:pStyle w:val="ListParagraph"/>
      </w:pPr>
      <w:r>
        <w:t>University of Notre Dame Monogram Club</w:t>
      </w:r>
      <w:r>
        <w:t xml:space="preserve"> </w:t>
      </w:r>
    </w:p>
    <w:p w:rsidR="007F1EF5" w:rsidP="00C214F1" w:rsidRDefault="00C214F1">
      <w:pPr>
        <w:pStyle w:val="Heading2"/>
      </w:pPr>
      <w:r w:rsidRPr="009328C8">
        <w:t>COMMUNITY INVOLVEMENT</w:t>
      </w:r>
    </w:p>
    <w:p w:rsidR="007F1EF5" w:rsidP="00C214F1" w:rsidRDefault="00C214F1">
      <w:pPr>
        <w:pStyle w:val="ListParagraph"/>
      </w:pPr>
      <w:r>
        <w:t>West Side Catholic Center, Board of Directors, 2006-22</w:t>
      </w:r>
      <w:r>
        <w:t xml:space="preserve"> </w:t>
      </w:r>
    </w:p>
    <w:p w:rsidR="007F1EF5" w:rsidP="00C214F1" w:rsidRDefault="00C214F1">
      <w:pPr>
        <w:pStyle w:val="ListParagraph"/>
      </w:pPr>
      <w:r>
        <w:t>Lorain County Community College Foundation, 2023 – present</w:t>
      </w:r>
      <w:r>
        <w:t xml:space="preserve"> </w:t>
      </w:r>
    </w:p>
    <w:p w:rsidR="007F1EF5" w:rsidP="00C214F1" w:rsidRDefault="00C214F1">
      <w:pPr>
        <w:pStyle w:val="ListParagraph"/>
      </w:pPr>
      <w:r>
        <w:t>Ignatius High School Alumni Council</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 Parks LLP, 2023 – present</w:t>
      </w:r>
      <w:r>
        <w:t xml:space="preserve"> </w:t>
      </w:r>
    </w:p>
    <w:p w:rsidR="007F1EF5" w:rsidP="00C214F1" w:rsidRDefault="00C214F1">
      <w:pPr>
        <w:pStyle w:val="ListParagraph"/>
      </w:pPr>
      <w:r>
        <w:t>Partner, Wickens Herzer Panza, 2015-23</w:t>
      </w:r>
      <w:r>
        <w:t xml:space="preserve"> </w:t>
      </w:r>
    </w:p>
    <w:p w:rsidR="007F1EF5" w:rsidP="00C214F1" w:rsidRDefault="00C214F1">
      <w:pPr>
        <w:pStyle w:val="ListParagraph"/>
      </w:pPr>
      <w:r>
        <w:t>Partner, Cooke &amp; Co., LPA, 2009-15</w:t>
      </w:r>
      <w:r>
        <w:t xml:space="preserve"> </w:t>
      </w:r>
    </w:p>
    <w:p w:rsidR="007F1EF5" w:rsidP="00C214F1" w:rsidRDefault="00C214F1">
      <w:pPr>
        <w:pStyle w:val="ListParagraph"/>
      </w:pPr>
      <w:r>
        <w:t>Associate, Jones Day, 2008-09</w:t>
      </w:r>
      <w:r>
        <w:t xml:space="preserve"> </w:t>
      </w:r>
    </w:p>
    <w:p w:rsidR="007F1EF5" w:rsidP="00C214F1" w:rsidRDefault="00C214F1">
      <w:pPr>
        <w:pStyle w:val="ListParagraph"/>
      </w:pPr>
      <w:r>
        <w:t>Associate, Norton Rose Fulbright, 2004-08</w:t>
      </w:r>
      <w:r>
        <w:t xml:space="preserve"> </w:t>
      </w:r>
    </w:p>
    <w:p>
      <w:r>
        <w:t>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