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Andrew J. Natale</w:t>
            </w:r>
          </w:p>
          <w:p w14:paraId="721B5907" w14:textId="2CE3BDC0" w:rsidR="00781D57" w:rsidRDefault="00781D57" w:rsidP="00781D57">
            <w:pPr>
              <w:pStyle w:val="PersonTitle"/>
            </w:pPr>
            <w:r>
              <w:t>Senior Counsel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216.274.2320</w:t>
            </w:r>
            <w:br/>
            <w:r>
              <w:rPr>
                <w:color w:val="337CB4"/>
              </w:rPr>
              <w:t xml:space="preserve">email </w:t>
            </w:r>
            <w:r>
              <w:rPr/>
              <w:t xml:space="preserve"> anatale@hahnlaw.com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Construction</w:t>
            </w:r>
          </w:p>
        </w:tc>
      </w:tr>
    </w:tbl>
    <w:tbl>
      <w:tblGrid>
        <w:gridCol/>
      </w:tblGrid>
      <w:tr>
        <w:trPr/>
        <w:tc>
          <w:tcPr>
            <w:noWrap/>
          </w:tcPr>
          <w:p>
            <w:pPr/>
            <w:r>
              <w:rPr/>
              <w:t xml:space="preserve">Andrew J. Natale devotes his practice solely to construction law, where he represents general contractors, design/builders, surety companies, subcontractors, specialty trades, suppliers, manufacturers, developers, lenders, owners, and design professionals in all aspects of construction law, including arbitration, mediation and complex commercial litigation.</w:t>
            </w:r>
          </w:p>
          <w:p>
            <w:pPr/>
            <w:r>
              <w:rPr/>
              <w:t xml:space="preserve">Andy has extensive experience with construction-related litigation, mediation, arbitration, claims management and avoidance, insurance coverage, and contract negotiation. His national recognition comes from his experience as an arbitrator and mediator for complex construction disputes.</w:t>
            </w:r>
          </w:p>
          <w:p>
            <w:pPr/>
            <w:r>
              <w:rPr/>
              <w:t xml:space="preserve">Andy’s significant experience includes representing and counseling clients in construction project risk management and project documentation, claims development and defense, lien and bond claim issues, schedule disputes, extra work and defective work issues, insurance coverage matters, and competitive bid contests. Andy’s industry recognitions are considerable. He’s been selected for 20 consecutive years to  Ohio Super Lawyers®, four selections to Top 100 Ohio Super Lawyers, and as a Best Lawyers® Cleveland Lawyer of the Year.</w:t>
            </w:r>
          </w:p>
          <w:p>
            <w:pPr/>
            <w:r>
              <w:rPr/>
              <w:t xml:space="preserve">Andy is a frequent lecturer on a variety of construction law topics, including mechanics’ lien and bond law, construction claims and liability theories, project and claim documentation, competitive bidding, schedule issues, alternative dispute resolution, design professional liability, and construction defects.</w:t>
            </w:r>
          </w:p>
          <w:p>
            <w:pPr/>
            <w:r>
              <w:rPr/>
              <w:t xml:space="preserve">He is certified by the Associated General Contractors of Ohio and the AGC of America to teach Building Information Modeling (BIM) courses, the Project Manager Development Program, and Risk Management courses. He also participates regularly as a speaker for Lorman Education, NBI, the Construction Employers Association, and on a variety of alternative dispute resolution topics for the American Arbitration Association.</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w:t>
      </w:r>
      <w:r>
        <w:t xml:space="preserve"> </w:t>
      </w:r>
    </w:p>
    <w:p w:rsidR="007F1EF5" w:rsidP="00C214F1" w:rsidRDefault="00C214F1">
      <w:pPr>
        <w:pStyle w:val="ListParagraph"/>
      </w:pPr>
      <w:r>
        <w:t>U.S. Courts of Appeals for the Sixth Circuit and Federal; U.S. District Courts for the Northern District of Ohio and Southern District of Ohio</w:t>
      </w:r>
      <w:r>
        <w:t xml:space="preserve"> </w:t>
      </w:r>
    </w:p>
    <w:p w:rsidR="007F1EF5" w:rsidP="00C214F1" w:rsidRDefault="00C214F1">
      <w:pPr>
        <w:pStyle w:val="ListParagraph"/>
      </w:pPr>
      <w:r>
        <w:t>AAA Panel of Construction Industry Neutrals, including Large Complex Case Neutrals</w:t>
      </w:r>
      <w:r>
        <w:t xml:space="preserve"> </w:t>
      </w:r>
    </w:p>
    <w:p w:rsidR="007F1EF5" w:rsidP="00C214F1" w:rsidRDefault="00C214F1">
      <w:pPr>
        <w:pStyle w:val="Heading2"/>
      </w:pPr>
      <w:r w:rsidRPr="009328C8">
        <w:t>EDUCATION</w:t>
      </w:r>
    </w:p>
    <w:p w:rsidR="007F1EF5" w:rsidP="00C214F1" w:rsidRDefault="00C214F1">
      <w:pPr>
        <w:pStyle w:val="ListParagraph"/>
      </w:pPr>
      <w:r>
        <w:t>University of Cincinnati College of Law, J.D., 1989</w:t>
      </w:r>
      <w:r>
        <w:t xml:space="preserve"> </w:t>
      </w:r>
    </w:p>
    <w:p w:rsidR="007F1EF5" w:rsidP="00C214F1" w:rsidRDefault="00C214F1">
      <w:pPr>
        <w:pStyle w:val="ListParagraph"/>
      </w:pPr>
      <w:r>
        <w:t>University of Dayton B.A., 1986</w:t>
      </w:r>
      <w:r>
        <w:t xml:space="preserve"> </w:t>
      </w:r>
    </w:p>
    <w:p w:rsidR="007F1EF5" w:rsidP="00C214F1" w:rsidRDefault="00C214F1">
      <w:pPr>
        <w:pStyle w:val="Heading2"/>
      </w:pPr>
      <w:r w:rsidRPr="009328C8">
        <w:t>AWARDS &amp; HONORS</w:t>
      </w:r>
    </w:p>
    <w:p w:rsidR="007F1EF5" w:rsidP="00C214F1" w:rsidRDefault="00C214F1">
      <w:pPr>
        <w:pStyle w:val="ListParagraph"/>
      </w:pPr>
      <w:r>
        <w:t>Distinguished Service Award, Ohio Contractors Association, 2018</w:t>
      </w:r>
      <w:r>
        <w:t xml:space="preserve"> </w:t>
      </w:r>
    </w:p>
    <w:p w:rsidR="007F1EF5" w:rsidP="00C214F1" w:rsidRDefault="00C214F1">
      <w:pPr>
        <w:pStyle w:val="ListParagraph"/>
      </w:pPr>
      <w:r>
        <w:t>ChambersUSA, Construction, 2003-25</w:t>
      </w:r>
      <w:r>
        <w:t xml:space="preserve"> </w:t>
      </w:r>
    </w:p>
    <w:p w:rsidR="007F1EF5" w:rsidP="00C214F1" w:rsidRDefault="00C214F1">
      <w:pPr>
        <w:pStyle w:val="ListParagraph"/>
      </w:pPr>
      <w:r>
        <w:t>The Best Lawyers in America®, Construction Law, 2006-26; Litigation-Construction, 2019-26; Commercial Litigation, 2019-26; Cleveland Lawyer of the Year, Construction, 2012, 2017, Construction – Litigation 2023</w:t>
      </w:r>
      <w:r>
        <w:t xml:space="preserve"> </w:t>
      </w:r>
    </w:p>
    <w:p w:rsidR="007F1EF5" w:rsidP="00C214F1" w:rsidRDefault="00C214F1">
      <w:pPr>
        <w:pStyle w:val="ListParagraph"/>
      </w:pPr>
      <w:r>
        <w:t>Ohio Super Lawyers®, Construction Litigation, 2004-2025; Top 50 Cleveland Super Lawyers, 2018, 2021-22; Top 100 Ohio Super Lawyers, 2011, 2018, 2021-22</w:t>
      </w:r>
      <w:r>
        <w:t xml:space="preserve"> </w:t>
      </w:r>
    </w:p>
    <w:p w:rsidR="007F1EF5" w:rsidP="00C214F1" w:rsidRDefault="00C214F1">
      <w:pPr>
        <w:pStyle w:val="ListParagraph"/>
      </w:pPr>
      <w:r>
        <w:t>AV Preeminent®, Martindale-Hubbell</w:t>
      </w:r>
      <w:r>
        <w:t xml:space="preserve"> </w:t>
      </w:r>
    </w:p>
    <w:p w:rsidR="007F1EF5" w:rsidP="00C214F1" w:rsidRDefault="00C214F1">
      <w:pPr>
        <w:pStyle w:val="ListParagraph"/>
      </w:pPr>
      <w:r>
        <w:t>International Who’s Who of Construction Lawyers</w:t>
      </w:r>
      <w:r>
        <w:t xml:space="preserve"> </w:t>
      </w:r>
    </w:p>
    <w:p w:rsidR="007F1EF5" w:rsidP="00C214F1" w:rsidRDefault="00C214F1">
      <w:pPr>
        <w:pStyle w:val="ListParagraph"/>
      </w:pPr>
      <w:r>
        <w:t>Hero Award, ALS Association, 2020</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Contracting Issues for 2022</w:t>
      </w:r>
      <w:r>
        <w:t xml:space="preserve"> </w:t>
      </w:r>
    </w:p>
    <w:p w:rsidR="007F1EF5" w:rsidP="00C214F1" w:rsidRDefault="00C214F1">
      <w:pPr>
        <w:pStyle w:val="ListParagraph"/>
      </w:pPr>
      <w:r>
        <w:t>Ohio Supreme Court Rules that Statute of Repose Applies to Contract Claims</w:t>
      </w:r>
      <w:r>
        <w:t xml:space="preserve"> </w:t>
      </w:r>
    </w:p>
    <w:p w:rsidR="007F1EF5" w:rsidP="00C214F1" w:rsidRDefault="00C214F1">
      <w:pPr>
        <w:pStyle w:val="ListParagraph"/>
      </w:pPr>
      <w:r>
        <w:t>Ohio Court of Appeals Confirms Applicability of Statute of Repose to Contract Claims and Sureties</w:t>
      </w:r>
      <w:r>
        <w:t xml:space="preserve"> </w:t>
      </w:r>
    </w:p>
    <w:p w:rsidR="007F1EF5" w:rsidP="00C214F1" w:rsidRDefault="00C214F1">
      <w:pPr>
        <w:pStyle w:val="ListParagraph"/>
      </w:pPr>
      <w:r>
        <w:t>Contract Risk for Escalation Costs</w:t>
      </w:r>
      <w:r>
        <w:t xml:space="preserve"> </w:t>
      </w:r>
    </w:p>
    <w:p w:rsidR="007F1EF5" w:rsidP="00C214F1" w:rsidRDefault="00C214F1">
      <w:pPr>
        <w:pStyle w:val="ListParagraph"/>
      </w:pPr>
      <w:r>
        <w:t>Owners and Contractors Beware! Electronic Payments in Construction Are Subject to Increased Fraud</w:t>
      </w:r>
      <w:r>
        <w:t xml:space="preserve"> </w:t>
      </w:r>
    </w:p>
    <w:p w:rsidR="007F1EF5" w:rsidP="00C214F1" w:rsidRDefault="00C214F1">
      <w:pPr>
        <w:pStyle w:val="ListParagraph"/>
      </w:pPr>
      <w:r>
        <w:t>Ohio Court of Claims Decision Puts Public Works Bond Sureties Directly Behind the Eight Ball:  Strict Application of Claims Waiver Provisions Bars Surety Payment Claims</w:t>
      </w:r>
      <w:r>
        <w:t xml:space="preserve"> </w:t>
      </w:r>
    </w:p>
    <w:p w:rsidR="007F1EF5" w:rsidP="00C214F1" w:rsidRDefault="00C214F1">
      <w:pPr>
        <w:pStyle w:val="ListParagraph"/>
      </w:pPr>
      <w:r>
        <w:t>Legal Aspects of Construction Law</w:t>
      </w:r>
      <w:r>
        <w:t xml:space="preserve"> </w:t>
      </w:r>
    </w:p>
    <w:p w:rsidR="007F1EF5" w:rsidP="00C214F1" w:rsidRDefault="00C214F1">
      <w:pPr>
        <w:pStyle w:val="ListParagraph"/>
      </w:pPr>
      <w:r>
        <w:t>Protect Your Bottom Line on Ohio Construction Projects: Ohio High Court’s October 2018 Ruling Denying Coverage for Defective Construction Work Confirms Need to Re-Evaluate and Revise Traditional Risk Transfer Mechanisms</w:t>
      </w:r>
      <w:r>
        <w:t xml:space="preserve"> </w:t>
      </w:r>
    </w:p>
    <w:p w:rsidR="007F1EF5" w:rsidP="00C214F1" w:rsidRDefault="00C214F1">
      <w:pPr>
        <w:pStyle w:val="ListParagraph"/>
      </w:pPr>
      <w:r>
        <w:t>Managing Risk and Protecting Rewards in Design Build Construction</w:t>
      </w:r>
      <w:r>
        <w:t xml:space="preserve"> </w:t>
      </w:r>
    </w:p>
    <w:p w:rsidR="007F1EF5" w:rsidP="00C214F1" w:rsidRDefault="00C214F1">
      <w:pPr>
        <w:pStyle w:val="ListParagraph"/>
      </w:pPr>
      <w:r>
        <w:t>Associated General Contractors of Ohio</w:t>
      </w:r>
      <w:r>
        <w:t xml:space="preserve"> </w:t>
      </w:r>
    </w:p>
    <w:p w:rsidR="007F1EF5" w:rsidP="00C214F1" w:rsidRDefault="00C214F1">
      <w:pPr>
        <w:pStyle w:val="ListParagraph"/>
      </w:pPr>
      <w:r>
        <w:t>Understanding and Managing Construction Bond and Insurance Risks</w:t>
      </w:r>
      <w:r>
        <w:t xml:space="preserve"> </w:t>
      </w:r>
    </w:p>
    <w:p w:rsidR="007F1EF5" w:rsidP="00C214F1" w:rsidRDefault="00C214F1">
      <w:pPr>
        <w:pStyle w:val="ListParagraph"/>
      </w:pPr>
      <w:r>
        <w:t>Site and Project Safety (Accident Investigation)</w:t>
      </w:r>
      <w:r>
        <w:t xml:space="preserve"> </w:t>
      </w:r>
    </w:p>
    <w:p w:rsidR="007F1EF5" w:rsidP="00C214F1" w:rsidRDefault="00C214F1">
      <w:pPr>
        <w:pStyle w:val="ListParagraph"/>
      </w:pPr>
      <w:r>
        <w:t>Prevailing Wage</w:t>
      </w:r>
      <w:r>
        <w:t xml:space="preserve"> </w:t>
      </w:r>
    </w:p>
    <w:p w:rsidR="007F1EF5" w:rsidP="00C214F1" w:rsidRDefault="00C214F1">
      <w:pPr>
        <w:pStyle w:val="ListParagraph"/>
      </w:pPr>
      <w:r>
        <w:t>Contract Termination</w:t>
      </w:r>
      <w:r>
        <w:t xml:space="preserve"> </w:t>
      </w:r>
    </w:p>
    <w:p w:rsidR="007F1EF5" w:rsidP="00C214F1" w:rsidRDefault="00C214F1">
      <w:pPr>
        <w:pStyle w:val="ListParagraph"/>
      </w:pPr>
      <w:r>
        <w:t>If I Build It, You Will Pay Construction Claims and Coverage Issues</w:t>
      </w:r>
      <w:r>
        <w:t xml:space="preserve"> </w:t>
      </w:r>
    </w:p>
    <w:p w:rsidR="007F1EF5" w:rsidP="00C214F1" w:rsidRDefault="00C214F1">
      <w:pPr>
        <w:pStyle w:val="ListParagraph"/>
      </w:pPr>
      <w:r>
        <w:t>Navigating the Claims Process: Presentation Strategies to Improve Success Rates and Control Costs</w:t>
      </w:r>
      <w:r>
        <w:t xml:space="preserve"> </w:t>
      </w:r>
    </w:p>
    <w:p w:rsidR="007F1EF5" w:rsidP="00C214F1" w:rsidRDefault="00C214F1">
      <w:pPr>
        <w:pStyle w:val="ListParagraph"/>
      </w:pPr>
      <w:r>
        <w:t>Managing Condominium Conversion Risks</w:t>
      </w:r>
      <w:r>
        <w:t xml:space="preserve"> </w:t>
      </w:r>
    </w:p>
    <w:p w:rsidR="007F1EF5" w:rsidP="00C214F1" w:rsidRDefault="00C214F1">
      <w:pPr>
        <w:pStyle w:val="ListParagraph"/>
      </w:pPr>
      <w:r>
        <w:t>BIM Contract Negotiation and Risk Allocation</w:t>
      </w:r>
      <w:r>
        <w:t xml:space="preserve"> </w:t>
      </w:r>
    </w:p>
    <w:p w:rsidR="007F1EF5" w:rsidP="00C214F1" w:rsidRDefault="00C214F1">
      <w:pPr>
        <w:pStyle w:val="ListParagraph"/>
      </w:pPr>
      <w:r>
        <w:t>Protecting the Bottom Line</w:t>
      </w:r>
      <w:r>
        <w:t xml:space="preserve"> </w:t>
      </w:r>
    </w:p>
    <w:p w:rsidR="007F1EF5" w:rsidP="00C214F1" w:rsidRDefault="00C214F1">
      <w:pPr>
        <w:pStyle w:val="ListParagraph"/>
      </w:pPr>
      <w:r>
        <w:t>Construction Claim Strategies and Techniques – Identifying and Responding to Claim Triggers</w:t>
      </w:r>
      <w:r>
        <w:t xml:space="preserve"> </w:t>
      </w:r>
    </w:p>
    <w:p w:rsidR="007F1EF5" w:rsidP="00C214F1" w:rsidRDefault="00C214F1">
      <w:pPr>
        <w:pStyle w:val="ListParagraph"/>
      </w:pPr>
      <w:r>
        <w:t>Construction Seminar</w:t>
      </w:r>
      <w:r>
        <w:t xml:space="preserve"> </w:t>
      </w:r>
    </w:p>
    <w:p w:rsidR="007F1EF5" w:rsidP="00C214F1" w:rsidRDefault="00C214F1">
      <w:pPr>
        <w:pStyle w:val="ListParagraph"/>
      </w:pPr>
      <w:r>
        <w:t>Understanding and Negotiation Critical Contract Clauses</w:t>
      </w:r>
      <w:r>
        <w:t xml:space="preserve"> </w:t>
      </w:r>
    </w:p>
    <w:p w:rsidR="007F1EF5" w:rsidP="00C214F1" w:rsidRDefault="00C214F1">
      <w:pPr>
        <w:pStyle w:val="ListParagraph"/>
      </w:pPr>
      <w:r>
        <w:t>Post Construction Phase/Arbitration: Strategies and Techniques for Managing and Resolving Construction Disputes</w:t>
      </w:r>
      <w:r>
        <w:t xml:space="preserve"> </w:t>
      </w:r>
    </w:p>
    <w:p w:rsidR="007F1EF5" w:rsidP="00C214F1" w:rsidRDefault="00C214F1">
      <w:pPr>
        <w:pStyle w:val="ListParagraph"/>
      </w:pPr>
      <w:r>
        <w:t>Accidents Happen: Jobsite Safety, Accident Investigation and Incident Reporting</w:t>
      </w:r>
      <w:r>
        <w:t xml:space="preserve"> </w:t>
      </w:r>
    </w:p>
    <w:p w:rsidR="007F1EF5" w:rsidP="00C214F1" w:rsidRDefault="00C214F1">
      <w:pPr>
        <w:pStyle w:val="ListParagraph"/>
      </w:pPr>
      <w:r>
        <w:t>Construction Reform</w:t>
      </w:r>
      <w:r>
        <w:t xml:space="preserve"> </w:t>
      </w:r>
    </w:p>
    <w:p w:rsidR="007F1EF5" w:rsidP="00C214F1" w:rsidRDefault="00C214F1">
      <w:pPr>
        <w:pStyle w:val="ListParagraph"/>
      </w:pPr>
      <w:r>
        <w:t>Managing Risk in the Design Build Construction Arena</w:t>
      </w:r>
      <w:r>
        <w:t xml:space="preserve"> </w:t>
      </w:r>
    </w:p>
    <w:p w:rsidR="007F1EF5" w:rsidP="00C214F1" w:rsidRDefault="00C214F1">
      <w:pPr>
        <w:pStyle w:val="ListParagraph"/>
      </w:pPr>
      <w:r>
        <w:t>Things Aren’t Always as They Appear</w:t>
      </w:r>
      <w:r>
        <w:t xml:space="preserve"> </w:t>
      </w:r>
    </w:p>
    <w:p w:rsidR="007F1EF5" w:rsidP="00C214F1" w:rsidRDefault="00C214F1">
      <w:pPr>
        <w:pStyle w:val="ListParagraph"/>
      </w:pPr>
      <w:r>
        <w:t>Keeping Control of Contracts and Reducing Risk</w:t>
      </w:r>
      <w:r>
        <w:t xml:space="preserve"> </w:t>
      </w:r>
    </w:p>
    <w:p w:rsidR="007F1EF5" w:rsidP="00C214F1" w:rsidRDefault="00C214F1">
      <w:pPr>
        <w:pStyle w:val="ListParagraph"/>
      </w:pPr>
      <w:r>
        <w:t>Oswald Education Program</w:t>
      </w:r>
      <w:r>
        <w:t xml:space="preserve"> </w:t>
      </w:r>
    </w:p>
    <w:p w:rsidR="007F1EF5" w:rsidP="00C214F1" w:rsidRDefault="00C214F1">
      <w:pPr>
        <w:pStyle w:val="ListParagraph"/>
      </w:pPr>
      <w:r>
        <w:t>Understanding Construction Disputes to Avoid Costly Litigation</w:t>
      </w:r>
      <w:r>
        <w:t xml:space="preserve"> </w:t>
      </w:r>
    </w:p>
    <w:p w:rsidR="007F1EF5" w:rsidP="00C214F1" w:rsidRDefault="00C214F1">
      <w:pPr>
        <w:pStyle w:val="ListParagraph"/>
      </w:pPr>
      <w:r>
        <w:t>Understanding and Negotiating Key Subcontract Provisions</w:t>
      </w:r>
      <w:r>
        <w:t xml:space="preserve"> </w:t>
      </w:r>
    </w:p>
    <w:p w:rsidR="007F1EF5" w:rsidP="00C214F1" w:rsidRDefault="00C214F1">
      <w:pPr>
        <w:pStyle w:val="ListParagraph"/>
      </w:pPr>
      <w:r>
        <w:t>Lien and Bond Law</w:t>
      </w:r>
      <w:r>
        <w:t xml:space="preserve"> </w:t>
      </w:r>
    </w:p>
    <w:p w:rsidR="007F1EF5" w:rsidP="00C214F1" w:rsidRDefault="00C214F1">
      <w:pPr>
        <w:pStyle w:val="ListParagraph"/>
      </w:pPr>
      <w:r>
        <w:t>Design Build Construction</w:t>
      </w:r>
      <w:r>
        <w:t xml:space="preserve"> </w:t>
      </w:r>
    </w:p>
    <w:p w:rsidR="007F1EF5" w:rsidP="00C214F1" w:rsidRDefault="00C214F1">
      <w:pPr>
        <w:pStyle w:val="Heading2"/>
      </w:pPr>
      <w:r w:rsidRPr="009328C8">
        <w:t>MEMBERSHIPS &amp; AFFILIATIONS</w:t>
      </w:r>
    </w:p>
    <w:p w:rsidR="007F1EF5" w:rsidP="00C214F1" w:rsidRDefault="00C214F1">
      <w:pPr>
        <w:pStyle w:val="ListParagraph"/>
      </w:pPr>
      <w:r>
        <w:t>American Arbitration Association’s Forum on Construction Industry, Panel Member, Construction Industry Arbitrator, Mediator, 1993-present</w:t>
      </w:r>
      <w:r>
        <w:t xml:space="preserve"> </w:t>
      </w:r>
    </w:p>
    <w:p w:rsidR="007F1EF5" w:rsidP="00C214F1" w:rsidRDefault="00C214F1">
      <w:pPr>
        <w:pStyle w:val="ListParagraph"/>
      </w:pPr>
      <w:r>
        <w:t>Construction Employers Association, Member</w:t>
      </w:r>
      <w:r>
        <w:t xml:space="preserve"> </w:t>
      </w:r>
    </w:p>
    <w:p w:rsidR="007F1EF5" w:rsidP="00C214F1" w:rsidRDefault="00C214F1">
      <w:pPr>
        <w:pStyle w:val="ListParagraph"/>
      </w:pPr>
      <w:r>
        <w:t>Cleveland Metropolitan Bar Association, Member</w:t>
      </w:r>
      <w:r>
        <w:t xml:space="preserve"> </w:t>
      </w:r>
    </w:p>
    <w:p w:rsidR="007F1EF5" w:rsidP="00C214F1" w:rsidRDefault="00C214F1">
      <w:pPr>
        <w:pStyle w:val="ListParagraph"/>
      </w:pPr>
      <w:r>
        <w:t>Ohio Contractors Association, Member</w:t>
      </w:r>
      <w:r>
        <w:t xml:space="preserve"> </w:t>
      </w:r>
    </w:p>
    <w:p w:rsidR="007F1EF5" w:rsidP="00C214F1" w:rsidRDefault="00C214F1">
      <w:pPr>
        <w:pStyle w:val="ListParagraph"/>
      </w:pPr>
      <w:r>
        <w:t>Surety Association of Ohio, Member</w:t>
      </w:r>
      <w:r>
        <w:t xml:space="preserve"> </w:t>
      </w:r>
    </w:p>
    <w:p w:rsidR="007F1EF5" w:rsidP="00C214F1" w:rsidRDefault="00C214F1">
      <w:pPr>
        <w:pStyle w:val="Heading2"/>
      </w:pPr>
      <w:r w:rsidRPr="009328C8">
        <w:t>COMMUNITY INVOLVEMENT</w:t>
      </w:r>
    </w:p>
    <w:p w:rsidR="007F1EF5" w:rsidP="00C214F1" w:rsidRDefault="00C214F1">
      <w:pPr>
        <w:pStyle w:val="ListParagraph"/>
      </w:pPr>
      <w:r>
        <w:t>Diocese of Cleveland CYO Athletics, 7th &amp; 8th Grade, Football Coach, 20 years</w:t>
      </w:r>
      <w:r>
        <w:t xml:space="preserve"> </w:t>
      </w:r>
    </w:p>
    <w:p w:rsidR="007F1EF5" w:rsidP="00C214F1" w:rsidRDefault="00C214F1">
      <w:pPr>
        <w:pStyle w:val="ListParagraph"/>
      </w:pPr>
      <w:r>
        <w:t>Diocese of Cleveland CYO Hall of Fame, Inductee, 2017</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