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bookmarkStart w:id="0" w:name="_GoBack"/>
            <w:bookmarkEnd w:id="0"/>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Alan F. Gonzalez</w:t>
            </w:r>
          </w:p>
          <w:p w14:paraId="721B5907" w14:textId="2CE3BDC0" w:rsidR="00781D57" w:rsidRDefault="00781D57" w:rsidP="00781D57">
            <w:pPr>
              <w:pStyle w:val="PersonTitle"/>
            </w:pPr>
            <w:r>
              <w:t>Senior Attorney</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813.295.6925</w:t>
            </w:r>
            <w:br/>
            <w:r>
              <w:rPr>
                <w:color w:val="337CB4"/>
              </w:rPr>
              <w:t xml:space="preserve">email </w:t>
            </w:r>
            <w:r>
              <w:rPr/>
              <w:t xml:space="preserve"> afgonzalez@hahnlaw.com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601 Bayshore Boulevard</w:t>
            </w:r>
            <w:r>
              <w:rPr/>
              <w:t xml:space="preserve">
                <w:br/>
              </w:t>
            </w:r>
            <w:r>
              <w:rPr/>
              <w:t xml:space="preserve">Suite 720</w:t>
            </w:r>
            <w:r>
              <w:rPr/>
              <w:t xml:space="preserve">
                <w:br/>
              </w:t>
            </w:r>
            <w:r>
              <w:rPr/>
              <w:t xml:space="preserve">Tampa, Florida 33606</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Trusts &amp; Estates, Estate Planning</w:t>
            </w:r>
          </w:p>
        </w:tc>
      </w:tr>
    </w:tbl>
    <w:tbl>
      <w:tblGrid>
        <w:gridCol/>
      </w:tblGrid>
      <w:tr>
        <w:trPr/>
        <w:tc>
          <w:tcPr>
            <w:noWrap/>
          </w:tcPr>
          <w:p>
            <w:pPr/>
            <w:r>
              <w:rPr/>
              <w:t xml:space="preserve">An attorney in Hahn Loeser’s Tampa office, Alan F. Gonzalez focuses on estate planning, taxation and probate law. Alan was a member of the law firm Walters Levine &amp; DeGrave, which joined Hahn Loeser &amp; Parks LLP in 2025.</w:t>
            </w:r>
          </w:p>
          <w:p>
            <w:pPr>
              <w:pStyle w:val="Heading3"/>
            </w:pPr>
            <w:r>
              <w:rPr/>
              <w:t xml:space="preserve">PROFESSIONAL ACHIEVEMENTS</w:t>
            </w:r>
          </w:p>
          <w:p>
            <w:pPr/>
            <w:r>
              <w:rPr/>
              <w:t xml:space="preserve">Alan is a member of the American Bar Association, Florida Bar Association, Hillsborough County Bar Association, Sarasota County Bar Association, and the Academy of Florida Trial Lawyers.</w:t>
            </w:r>
          </w:p>
          <w:p>
            <w:pPr/>
            <w:r>
              <w:rPr/>
              <w:t xml:space="preserve">He is admitted to practice law before all local and state courts in the State of Florida, the U.S. District Court of Appeal for the Middle District of Florida, U.S. Tax Court, U.S. Court of Claims, and the Fifth and Eleventh U.S. Circuit Courts of Appeal.</w:t>
            </w:r>
          </w:p>
          <w:p>
            <w:pPr/>
            <w:r>
              <w:rPr/>
              <w:t xml:space="preserve">Alan is a professional lecturer and published author as to topics relating to estate planning and taxation. In addition, he has taught courses in estate planning, contracts, civil procedure, business law, tax accounting, economics and Spanish as an assistant professor and adjunct instructor at various colleges and universities such as the University of Central Florida – Orlando, Rollins College – Winter Park, Hillsborough Community College – Tampa, Alabama Christian College – Birmingham, and Royalton College – South Royalton.</w:t>
            </w:r>
          </w:p>
          <w:p>
            <w:pPr>
              <w:pStyle w:val="Heading3"/>
            </w:pPr>
            <w:r>
              <w:rPr/>
              <w:t xml:space="preserve">EDUCATION AND SCHOLASTICS</w:t>
            </w:r>
          </w:p>
          <w:p>
            <w:pPr/>
            <w:r>
              <w:rPr/>
              <w:t xml:space="preserve">Alan received his Master of Laws in Taxation degree from the University of Florida – Gainesville in 1978, his Doctor of Jurisprudence degree and Master of Business Administration from Samford University, Cumberland School of Law – Birmingham, Alabama in 1977, and his Bachelor of Arts degree from the University of South Florida in 1973.</w:t>
            </w:r>
          </w:p>
          <w:p>
            <w:pPr>
              <w:pStyle w:val="Heading3"/>
            </w:pPr>
            <w:r>
              <w:rPr/>
              <w:t xml:space="preserve">COMMUNITY INVOLVEMENT</w:t>
            </w:r>
          </w:p>
          <w:p>
            <w:pPr/>
            <w:r>
              <w:rPr/>
              <w:t xml:space="preserve">Alan attends Faith Church PCA, Brooksville, FL and is a volunteer working with the ministry of Seminario Reformado Latinoamericano Inc.</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BAR ADMISSIONS</w:t>
      </w:r>
    </w:p>
    <w:p w:rsidR="007F1EF5" w:rsidP="00C214F1" w:rsidRDefault="00C214F1">
      <w:pPr>
        <w:pStyle w:val="ListParagraph"/>
      </w:pPr>
      <w:r>
        <w:t>State of Florida</w:t>
      </w:r>
      <w:r>
        <w:t xml:space="preserve"> </w:t>
      </w:r>
    </w:p>
    <w:p w:rsidR="007F1EF5" w:rsidP="00C214F1" w:rsidRDefault="00C214F1">
      <w:pPr>
        <w:pStyle w:val="ListParagraph"/>
      </w:pPr>
      <w:r>
        <w:t>U.S. District Court of Appeal for the Middle District of Florida</w:t>
      </w:r>
      <w:r>
        <w:t xml:space="preserve"> </w:t>
      </w:r>
    </w:p>
    <w:p w:rsidR="007F1EF5" w:rsidP="00C214F1" w:rsidRDefault="00C214F1">
      <w:pPr>
        <w:pStyle w:val="ListParagraph"/>
      </w:pPr>
      <w:r>
        <w:t>U.S. Tax Court</w:t>
      </w:r>
      <w:r>
        <w:t xml:space="preserve"> </w:t>
      </w:r>
    </w:p>
    <w:p w:rsidR="007F1EF5" w:rsidP="00C214F1" w:rsidRDefault="00C214F1">
      <w:pPr>
        <w:pStyle w:val="ListParagraph"/>
      </w:pPr>
      <w:r>
        <w:t>U.S. Court of Claims</w:t>
      </w:r>
      <w:r>
        <w:t xml:space="preserve"> </w:t>
      </w:r>
    </w:p>
    <w:p w:rsidR="007F1EF5" w:rsidP="00C214F1" w:rsidRDefault="00C214F1">
      <w:pPr>
        <w:pStyle w:val="ListParagraph"/>
      </w:pPr>
      <w:r>
        <w:t>U.S. Circuit Courts of Appeal Fifth and Eleventh Circuits</w:t>
      </w:r>
      <w:r>
        <w:t xml:space="preserve"> </w:t>
      </w:r>
    </w:p>
    <w:p w:rsidR="007F1EF5" w:rsidP="00C214F1" w:rsidRDefault="00C214F1">
      <w:pPr>
        <w:pStyle w:val="Heading2"/>
      </w:pPr>
      <w:r w:rsidRPr="009328C8">
        <w:t>EDUCATION</w:t>
      </w:r>
    </w:p>
    <w:p w:rsidR="007F1EF5" w:rsidP="00C214F1" w:rsidRDefault="00C214F1">
      <w:pPr>
        <w:pStyle w:val="ListParagraph"/>
      </w:pPr>
      <w:r>
        <w:t>Samford University Cumberland School of Law, J.D.</w:t>
      </w:r>
      <w:r>
        <w:t xml:space="preserve"> </w:t>
      </w:r>
    </w:p>
    <w:p w:rsidR="007F1EF5" w:rsidP="00C214F1" w:rsidRDefault="00C214F1">
      <w:pPr>
        <w:pStyle w:val="ListParagraph"/>
      </w:pPr>
      <w:r>
        <w:t>University of Florida, LL.M.</w:t>
      </w:r>
      <w:r>
        <w:t xml:space="preserve"> </w:t>
      </w:r>
    </w:p>
    <w:p w:rsidR="007F1EF5" w:rsidP="00C214F1" w:rsidRDefault="00C214F1">
      <w:pPr>
        <w:pStyle w:val="ListParagraph"/>
      </w:pPr>
      <w:r>
        <w:t>Samford University, MBA</w:t>
      </w:r>
      <w:r>
        <w:t xml:space="preserve"> </w:t>
      </w:r>
    </w:p>
    <w:p w:rsidR="007F1EF5" w:rsidP="00C214F1" w:rsidRDefault="00C214F1">
      <w:pPr>
        <w:pStyle w:val="ListParagraph"/>
      </w:pPr>
      <w:r>
        <w:t>University of South Florida, B.A.</w:t>
      </w:r>
      <w:r>
        <w:t xml:space="preserve"> </w:t>
      </w:r>
    </w:p>
    <w:p w:rsidR="007F1EF5" w:rsidP="00C214F1" w:rsidRDefault="00C214F1">
      <w:pPr>
        <w:pStyle w:val="Heading2"/>
      </w:pPr>
      <w:r w:rsidRPr="009328C8">
        <w:t>AWARDS &amp; HONORS</w:t>
      </w:r>
    </w:p>
    <w:p w:rsidR="007F1EF5" w:rsidP="00C214F1" w:rsidRDefault="00C214F1">
      <w:pPr>
        <w:pStyle w:val="ListParagraph"/>
      </w:pPr>
      <w:r>
        <w:t>AV Preeminent Rating®, Martindale-Hubbell</w:t>
      </w:r>
      <w:r>
        <w:t xml:space="preserve"> </w:t>
      </w:r>
    </w:p>
    <w:p w:rsidR="007F1EF5" w:rsidP="00C214F1" w:rsidRDefault="00C214F1">
      <w:pPr>
        <w:pStyle w:val="Heading2"/>
      </w:pPr>
      <w:r w:rsidRPr="009328C8">
        <w:t>MEMBERSHIPS &amp; AFFILIATIONS</w:t>
      </w:r>
    </w:p>
    <w:p w:rsidR="007F1EF5" w:rsidP="00C214F1" w:rsidRDefault="00C214F1">
      <w:pPr>
        <w:pStyle w:val="ListParagraph"/>
      </w:pPr>
      <w:r>
        <w:t>Hillsborough County Bar Association</w:t>
      </w:r>
      <w:r>
        <w:t xml:space="preserve"> </w:t>
      </w:r>
    </w:p>
    <w:p w:rsidR="007F1EF5" w:rsidP="00C214F1" w:rsidRDefault="00C214F1">
      <w:pPr>
        <w:pStyle w:val="ListParagraph"/>
      </w:pPr>
      <w:r>
        <w:t>American Bar Association</w:t>
      </w:r>
      <w:r>
        <w:t xml:space="preserve"> </w:t>
      </w:r>
    </w:p>
    <w:p w:rsidR="007F1EF5" w:rsidP="00C214F1" w:rsidRDefault="00C214F1">
      <w:pPr>
        <w:pStyle w:val="ListParagraph"/>
      </w:pPr>
      <w:r>
        <w:t>Florida Bar Association</w:t>
      </w:r>
      <w:r>
        <w:t xml:space="preserve"> </w:t>
      </w:r>
    </w:p>
    <w:p w:rsidR="007F1EF5" w:rsidP="00C214F1" w:rsidRDefault="00C214F1">
      <w:pPr>
        <w:pStyle w:val="ListParagraph"/>
      </w:pPr>
      <w:r>
        <w:t>Sarasota County Bar Association</w:t>
      </w:r>
      <w:r>
        <w:t xml:space="preserve"> </w:t>
      </w:r>
    </w:p>
    <w:p w:rsidR="007F1EF5" w:rsidP="00C214F1" w:rsidRDefault="00C214F1">
      <w:pPr>
        <w:pStyle w:val="ListParagraph"/>
      </w:pPr>
      <w:r>
        <w:t>Academy of Florida Trial Lawyers</w:t>
      </w:r>
      <w:r>
        <w:t xml:space="preserve"> </w:t>
      </w:r>
    </w:p>
    <w:p w:rsidR="007F1EF5" w:rsidP="00C214F1" w:rsidRDefault="00C214F1">
      <w:pPr>
        <w:pStyle w:val="Heading2"/>
      </w:pPr>
      <w:r w:rsidRPr="009328C8">
        <w:t>COMMUNITY INVOLVEMENT</w:t>
      </w:r>
    </w:p>
    <w:p w:rsidR="007F1EF5" w:rsidP="00C214F1" w:rsidRDefault="00C214F1">
      <w:pPr>
        <w:pStyle w:val="ListParagraph"/>
      </w:pPr>
      <w:r>
        <w:t>Seminario Reformado Latinoamericano Inc., volunteer</w:t>
      </w:r>
      <w:r>
        <w:t xml:space="preserve"> </w:t>
      </w:r>
    </w:p>
    <w:p w:rsidR="007F1EF5" w:rsidP="00C214F1" w:rsidRDefault="00C214F1">
      <w:pPr>
        <w:pStyle w:val="ListParagraph"/>
      </w:pPr>
      <w:r>
        <w:t>Faith Church PCA, member</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BB9BA" w14:textId="77777777" w:rsidR="007E7B21" w:rsidRDefault="007E7B21" w:rsidP="00A00570">
      <w:pPr>
        <w:spacing w:before="0" w:after="0" w:line="240" w:lineRule="auto"/>
      </w:pPr>
      <w:r>
        <w:separator/>
      </w:r>
    </w:p>
  </w:endnote>
  <w:endnote w:type="continuationSeparator" w:id="0">
    <w:p w14:paraId="6317653D" w14:textId="77777777" w:rsidR="007E7B21" w:rsidRDefault="007E7B21"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panose1 w:val="00000000000000000000"/>
    <w:charset w:val="00"/>
    <w:family w:val="auto"/>
    <w:pitch w:val="variable"/>
    <w:sig w:usb0="2000020F" w:usb1="00000003" w:usb2="00000000" w:usb3="00000000" w:csb0="00000197" w:csb1="00000000"/>
  </w:font>
  <w:font w:name="Montserrat Medium">
    <w:panose1 w:val="00000000000000000000"/>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panose1 w:val="000000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EndPr>
      <w:rPr>
        <w:rStyle w:val="PageNumber"/>
      </w:rPr>
    </w:sdtEndPr>
    <w:sdtContent>
      <w:p w14:paraId="54FA50CE" w14:textId="47343709" w:rsidR="00A00570" w:rsidRPr="00A00570" w:rsidRDefault="00A00570" w:rsidP="00A00570">
        <w:pPr>
          <w:pStyle w:val="Footer"/>
          <w:jc w:val="right"/>
        </w:pPr>
        <w:r>
          <w:rPr>
            <w:noProof/>
          </w:rPr>
          <w:drawing>
            <wp:inline distT="0" distB="0" distL="0" distR="0" wp14:anchorId="0A768BF5" wp14:editId="3F88F120">
              <wp:extent cx="5957342" cy="30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57342" cy="307175"/>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sidR="00592D6D">
          <w:rPr>
            <w:rStyle w:val="PageNumber"/>
            <w:rFonts w:ascii="Montserrat" w:hAnsi="Montserrat"/>
            <w:noProof/>
            <w:color w:val="7F7F7F" w:themeColor="text1" w:themeTint="80"/>
            <w:sz w:val="16"/>
            <w:szCs w:val="16"/>
          </w:rPr>
          <w:t>1</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7B30C" w14:textId="77777777" w:rsidR="007E7B21" w:rsidRDefault="007E7B21" w:rsidP="00A00570">
      <w:pPr>
        <w:spacing w:before="0" w:after="0" w:line="240" w:lineRule="auto"/>
      </w:pPr>
      <w:r>
        <w:separator/>
      </w:r>
    </w:p>
  </w:footnote>
  <w:footnote w:type="continuationSeparator" w:id="0">
    <w:p w14:paraId="7476CC9C" w14:textId="77777777" w:rsidR="007E7B21" w:rsidRDefault="007E7B21"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92D6D"/>
    <w:rsid w:val="005C18D3"/>
    <w:rsid w:val="005E1357"/>
    <w:rsid w:val="00621038"/>
    <w:rsid w:val="00637653"/>
    <w:rsid w:val="006553FF"/>
    <w:rsid w:val="006C5BA6"/>
    <w:rsid w:val="00704438"/>
    <w:rsid w:val="00781D57"/>
    <w:rsid w:val="00782D8B"/>
    <w:rsid w:val="007979A7"/>
    <w:rsid w:val="00797C0A"/>
    <w:rsid w:val="007D1EF8"/>
    <w:rsid w:val="007D3340"/>
    <w:rsid w:val="007D4329"/>
    <w:rsid w:val="007E7B21"/>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customStyle="1"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Windows User</cp:lastModifiedBy>
  <cp:revision>42</cp:revision>
  <dcterms:created xsi:type="dcterms:W3CDTF">2024-06-05T13:07:00Z</dcterms:created>
  <dcterms:modified xsi:type="dcterms:W3CDTF">2025-09-14T11:34:00Z</dcterms:modified>
</cp:coreProperties>
</file>