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Contact:</w:t>
      </w:r>
    </w:p>
    <w:p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Thomas D. Smanik, Chief Marketing Officer</w:t>
      </w:r>
    </w:p>
    <w:p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216.274.2406</w:t>
      </w:r>
    </w:p>
    <w:p>
      <w:pPr>
        <w:spacing w:after="0" w:line="240" w:lineRule="auto"/>
        <w:rPr>
          <w:rFonts w:ascii="Arial Narrow" w:hAnsi="Arial Narrow"/>
        </w:rPr>
      </w:pPr>
      <w:hyperlink r:id="rId7" w:history="1">
        <w:r>
          <w:rPr>
            <w:rStyle w:val="Hyperlink"/>
            <w:rFonts w:ascii="Arial Narrow" w:hAnsi="Arial Narrow"/>
          </w:rPr>
          <w:t>tsmanik@hahnlaw.com</w:t>
        </w:r>
      </w:hyperlink>
    </w:p>
    <w:p>
      <w:pPr>
        <w:spacing w:after="0" w:line="240" w:lineRule="auto"/>
        <w:rPr>
          <w:rFonts w:ascii="Arial Narrow" w:hAnsi="Arial Narrow"/>
        </w:rPr>
      </w:pPr>
    </w:p>
    <w:p>
      <w:pPr>
        <w:spacing w:after="0" w:line="240" w:lineRule="auto"/>
        <w:rPr>
          <w:rFonts w:ascii="Arial Narrow" w:hAnsi="Arial Narrow"/>
        </w:rPr>
      </w:pPr>
    </w:p>
    <w:p>
      <w:pPr>
        <w:spacing w:after="0" w:line="240" w:lineRule="auto"/>
        <w:jc w:val="both"/>
        <w:rPr>
          <w:rFonts w:ascii="Microsoft Sans Serif" w:hAnsi="Microsoft Sans Serif" w:cs="Microsoft Sans Serif"/>
          <w:b/>
          <w:i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Forty-One Hahn Loeser Attorneys Named to 2013 Edition of </w:t>
      </w:r>
      <w:r>
        <w:rPr>
          <w:rFonts w:ascii="Microsoft Sans Serif" w:hAnsi="Microsoft Sans Serif" w:cs="Microsoft Sans Serif"/>
          <w:b/>
          <w:i/>
          <w:sz w:val="24"/>
          <w:szCs w:val="24"/>
        </w:rPr>
        <w:t>The Best Lawyers in America</w:t>
      </w:r>
    </w:p>
    <w:p>
      <w:pPr>
        <w:spacing w:after="0" w:line="240" w:lineRule="auto"/>
        <w:jc w:val="both"/>
        <w:rPr>
          <w:rFonts w:ascii="Arial Narrow" w:hAnsi="Arial Narrow"/>
          <w:b/>
          <w:i/>
        </w:rPr>
      </w:pPr>
    </w:p>
    <w:p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January 29, 2013 --- Cleveland, OH --- Hahn Loeser &amp; Parks LLP is pleased to announce that 41 of the firm’s attorneys have been named to the 2013 edition of </w:t>
      </w:r>
      <w:r>
        <w:rPr>
          <w:rFonts w:ascii="Arial Narrow" w:hAnsi="Arial Narrow"/>
          <w:i/>
        </w:rPr>
        <w:t>The Best Lawyers in America</w:t>
      </w:r>
      <w:r>
        <w:rPr>
          <w:rFonts w:ascii="Arial Narrow" w:hAnsi="Arial Narrow"/>
          <w:vertAlign w:val="superscript"/>
        </w:rPr>
        <w:t>®</w:t>
      </w:r>
      <w:r>
        <w:rPr>
          <w:rFonts w:ascii="Arial Narrow" w:hAnsi="Arial Narrow"/>
        </w:rPr>
        <w:t xml:space="preserve">. </w:t>
      </w:r>
    </w:p>
    <w:p>
      <w:pPr>
        <w:spacing w:after="0" w:line="240" w:lineRule="auto"/>
        <w:jc w:val="both"/>
        <w:rPr>
          <w:rFonts w:ascii="Arial Narrow" w:hAnsi="Arial Narrow"/>
        </w:rPr>
      </w:pPr>
    </w:p>
    <w:p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Three of the firm’s attorneys were named “Lawyer of the Year” in their respective areas of practice:</w:t>
      </w:r>
    </w:p>
    <w:p>
      <w:pPr>
        <w:spacing w:after="0" w:line="240" w:lineRule="auto"/>
        <w:jc w:val="both"/>
        <w:rPr>
          <w:rFonts w:ascii="Arial Narrow" w:hAnsi="Arial Narrow"/>
        </w:rPr>
      </w:pPr>
    </w:p>
    <w:p>
      <w:pPr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Stephen J. Knerly, Jr.</w:t>
      </w:r>
      <w:r>
        <w:rPr>
          <w:rFonts w:ascii="Arial Narrow" w:hAnsi="Arial Narrow"/>
        </w:rPr>
        <w:t>:  Non-Profit/Charities Law (Cleveland)</w:t>
      </w:r>
    </w:p>
    <w:p>
      <w:pPr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Lawrence E. Oscar</w:t>
      </w:r>
      <w:r>
        <w:rPr>
          <w:rFonts w:ascii="Arial Narrow" w:hAnsi="Arial Narrow"/>
        </w:rPr>
        <w:t>:  Bankruptcy &amp; Creditor-Debtor Rights/Insolvency and Reorganization Law (Cleveland)</w:t>
      </w:r>
    </w:p>
    <w:p>
      <w:pPr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Mark A. Watkins</w:t>
      </w:r>
      <w:r>
        <w:rPr>
          <w:rFonts w:ascii="Arial Narrow" w:hAnsi="Arial Narrow"/>
        </w:rPr>
        <w:t>:  Litigation – Intellectual Property (Akron)</w:t>
      </w:r>
    </w:p>
    <w:p>
      <w:pPr>
        <w:spacing w:after="0" w:line="240" w:lineRule="auto"/>
        <w:jc w:val="both"/>
        <w:rPr>
          <w:rFonts w:ascii="Arial Narrow" w:hAnsi="Arial Narrow"/>
        </w:rPr>
      </w:pPr>
    </w:p>
    <w:p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And three of the firm’s attorneys celebrated milestone anniversaries this year for the number of years they have been listed in Best Lawyers:</w:t>
      </w:r>
    </w:p>
    <w:p>
      <w:pPr>
        <w:spacing w:after="0" w:line="240" w:lineRule="auto"/>
        <w:jc w:val="both"/>
        <w:rPr>
          <w:rFonts w:ascii="Arial Narrow" w:hAnsi="Arial Narrow"/>
        </w:rPr>
      </w:pPr>
    </w:p>
    <w:p>
      <w:pPr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Lee D. Powar</w:t>
      </w:r>
      <w:r>
        <w:rPr>
          <w:rFonts w:ascii="Arial Narrow" w:hAnsi="Arial Narrow"/>
        </w:rPr>
        <w:t>:  20 years listed in Best Lawyers</w:t>
      </w:r>
    </w:p>
    <w:p>
      <w:pPr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Stephen E. Chappelear</w:t>
      </w:r>
      <w:r>
        <w:rPr>
          <w:rFonts w:ascii="Arial Narrow" w:hAnsi="Arial Narrow"/>
        </w:rPr>
        <w:t>:  15 years listed in Best Lawyers</w:t>
      </w:r>
    </w:p>
    <w:p>
      <w:pPr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M. Patricia Culler</w:t>
      </w:r>
      <w:r>
        <w:rPr>
          <w:rFonts w:ascii="Arial Narrow" w:hAnsi="Arial Narrow"/>
        </w:rPr>
        <w:t>:  10 years listed in Best Lawyers</w:t>
      </w:r>
    </w:p>
    <w:p>
      <w:pPr>
        <w:spacing w:after="0" w:line="240" w:lineRule="auto"/>
        <w:jc w:val="both"/>
        <w:rPr>
          <w:rFonts w:ascii="Arial Narrow" w:hAnsi="Arial Narrow"/>
        </w:rPr>
      </w:pPr>
    </w:p>
    <w:p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First published in 1983, Best Lawyers is based on an exhaustive annual peer-review survey. Because of the rigorous and transparent methodology used by Best Lawyers, and because lawyers are not required or allowed to pay a fee to be listed, inclusion in the publication is considered a singular honor. </w:t>
      </w:r>
      <w:r>
        <w:rPr>
          <w:rFonts w:ascii="Arial Narrow" w:hAnsi="Arial Narrow"/>
          <w:color w:val="000000"/>
        </w:rPr>
        <w:t xml:space="preserve">The 2013 edition of Best Lawyers was based on more than 4.3 million confidential evaluations </w:t>
      </w:r>
      <w:r>
        <w:rPr>
          <w:rFonts w:ascii="Arial Narrow" w:hAnsi="Arial Narrow"/>
        </w:rPr>
        <w:t>of attorneys by o</w:t>
      </w:r>
      <w:r>
        <w:rPr>
          <w:rFonts w:ascii="Arial Narrow" w:hAnsi="Arial Narrow"/>
          <w:color w:val="000000"/>
        </w:rPr>
        <w:t>ther top lawyers in the same practice areas and geographic locations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color w:val="000000"/>
        </w:rPr>
        <w:t>and lists 50,178 attorneys in 128 legal practice areas</w:t>
      </w:r>
      <w:r>
        <w:rPr>
          <w:rFonts w:ascii="Arial Narrow" w:hAnsi="Arial Narrow"/>
        </w:rPr>
        <w:t>.</w:t>
      </w:r>
    </w:p>
    <w:p>
      <w:pPr>
        <w:spacing w:after="0" w:line="240" w:lineRule="auto"/>
        <w:jc w:val="both"/>
        <w:rPr>
          <w:rFonts w:ascii="Arial Narrow" w:hAnsi="Arial Narrow"/>
        </w:rPr>
      </w:pPr>
    </w:p>
    <w:p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The following Hahn Loeser attorneys, all partners of the firm, have been named to Best Lawyers’ 2013 edition:</w:t>
      </w:r>
    </w:p>
    <w:p>
      <w:pPr>
        <w:spacing w:after="0" w:line="240" w:lineRule="auto"/>
        <w:jc w:val="both"/>
        <w:rPr>
          <w:rFonts w:ascii="Arial Narrow" w:hAnsi="Arial Narrow"/>
        </w:rPr>
      </w:pPr>
    </w:p>
    <w:p>
      <w:pPr>
        <w:spacing w:after="12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Cleveland, Ohio</w:t>
      </w:r>
    </w:p>
    <w:p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W. Eric Baisden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Labor Law – Management</w:t>
      </w:r>
    </w:p>
    <w:p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Arthur L. Cobb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Health Care Law; Real Estate Law</w:t>
      </w:r>
    </w:p>
    <w:p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Deborah A. Coleman</w:t>
      </w:r>
      <w:r>
        <w:rPr>
          <w:rFonts w:ascii="Arial Narrow" w:hAnsi="Arial Narrow"/>
        </w:rPr>
        <w:tab/>
        <w:t>Arbitration</w:t>
      </w:r>
    </w:p>
    <w:p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M. Patricia Culler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Litigation – Trusts &amp; Estates; Trusts &amp; Estates</w:t>
      </w:r>
    </w:p>
    <w:p>
      <w:pPr>
        <w:spacing w:after="120" w:line="240" w:lineRule="auto"/>
        <w:ind w:left="2160" w:hanging="2160"/>
        <w:rPr>
          <w:rFonts w:ascii="Arial Narrow" w:hAnsi="Arial Narrow"/>
        </w:rPr>
      </w:pPr>
      <w:r>
        <w:rPr>
          <w:rFonts w:ascii="Arial Narrow" w:hAnsi="Arial Narrow"/>
        </w:rPr>
        <w:t>Rocco I. Debitetto</w:t>
      </w:r>
      <w:r>
        <w:rPr>
          <w:rFonts w:ascii="Arial Narrow" w:hAnsi="Arial Narrow"/>
        </w:rPr>
        <w:tab/>
        <w:t>Bankruptcy &amp; Creditor Debtor Rights/Insolvency &amp; Reorganization Law</w:t>
      </w:r>
    </w:p>
    <w:p>
      <w:pPr>
        <w:spacing w:after="120" w:line="240" w:lineRule="auto"/>
        <w:ind w:left="2160" w:hanging="2160"/>
        <w:rPr>
          <w:rFonts w:ascii="Arial Narrow" w:hAnsi="Arial Narrow"/>
        </w:rPr>
      </w:pPr>
      <w:r>
        <w:rPr>
          <w:rFonts w:ascii="Arial Narrow" w:hAnsi="Arial Narrow"/>
        </w:rPr>
        <w:t>Daniel A. DeMarco</w:t>
      </w:r>
      <w:r>
        <w:rPr>
          <w:rFonts w:ascii="Arial Narrow" w:hAnsi="Arial Narrow"/>
        </w:rPr>
        <w:tab/>
        <w:t>Bankruptcy &amp; Creditor Debtor Rights/Insolvency &amp; Reorganization Law; Litigation – Bankruptcy</w:t>
      </w:r>
    </w:p>
    <w:p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Christina D. Evans</w:t>
      </w:r>
      <w:r>
        <w:rPr>
          <w:rFonts w:ascii="Arial Narrow" w:hAnsi="Arial Narrow"/>
        </w:rPr>
        <w:tab/>
        <w:t>Trusts &amp; Estates</w:t>
      </w:r>
    </w:p>
    <w:p>
      <w:pPr>
        <w:spacing w:after="120" w:line="240" w:lineRule="auto"/>
        <w:ind w:left="2160" w:hanging="216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Robert J. Fogarty</w:t>
      </w:r>
      <w:r>
        <w:rPr>
          <w:rFonts w:ascii="Arial Narrow" w:hAnsi="Arial Narrow"/>
        </w:rPr>
        <w:tab/>
        <w:t>Commercial Litigation; Litigation – Antitrust; Mass Tort Litigation/Class Actions – Defendants; Mass Tort Litigation/Class Actions – Plaintiffs; Real Estate Litigation</w:t>
      </w:r>
    </w:p>
    <w:p>
      <w:pPr>
        <w:spacing w:after="120" w:line="240" w:lineRule="auto"/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Stephen H. Gariepy</w:t>
      </w:r>
      <w:r>
        <w:rPr>
          <w:rFonts w:ascii="Arial Narrow" w:hAnsi="Arial Narrow"/>
        </w:rPr>
        <w:tab/>
        <w:t>Trusts &amp; Estates</w:t>
      </w:r>
    </w:p>
    <w:p>
      <w:pPr>
        <w:spacing w:after="120" w:line="240" w:lineRule="auto"/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Michael J. Garvin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Litigation – Intellectual Property; Patent Law; Trademark Law</w:t>
      </w:r>
    </w:p>
    <w:p>
      <w:pPr>
        <w:spacing w:after="120" w:line="240" w:lineRule="auto"/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Arthur E. Gibbs III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Litigation – Trusts &amp; Estates; Trusts &amp; Estates</w:t>
      </w:r>
    </w:p>
    <w:p>
      <w:pPr>
        <w:spacing w:after="120" w:line="240" w:lineRule="auto"/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Steven A. Goldfarb</w:t>
      </w:r>
      <w:r>
        <w:rPr>
          <w:rFonts w:ascii="Arial Narrow" w:hAnsi="Arial Narrow"/>
        </w:rPr>
        <w:tab/>
        <w:t>Commercial Litigation; Insurance Law; Litigation – Banking &amp; Finance</w:t>
      </w:r>
    </w:p>
    <w:p>
      <w:pPr>
        <w:spacing w:after="120" w:line="240" w:lineRule="auto"/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Stanley R. Gorom III</w:t>
      </w:r>
      <w:r>
        <w:rPr>
          <w:rFonts w:ascii="Arial Narrow" w:hAnsi="Arial Narrow"/>
        </w:rPr>
        <w:tab/>
        <w:t>Real Estate Law</w:t>
      </w:r>
    </w:p>
    <w:p>
      <w:pPr>
        <w:spacing w:after="120" w:line="240" w:lineRule="auto"/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Joan M. Gross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Trusts &amp; Estates</w:t>
      </w:r>
    </w:p>
    <w:p>
      <w:pPr>
        <w:spacing w:after="120" w:line="240" w:lineRule="auto"/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Arthur M. Kaufman</w:t>
      </w:r>
      <w:r>
        <w:rPr>
          <w:rFonts w:ascii="Arial Narrow" w:hAnsi="Arial Narrow"/>
        </w:rPr>
        <w:tab/>
        <w:t>Insurance Law</w:t>
      </w:r>
    </w:p>
    <w:p>
      <w:pPr>
        <w:spacing w:after="120" w:line="240" w:lineRule="auto"/>
        <w:ind w:left="2160" w:hanging="2160"/>
        <w:rPr>
          <w:rFonts w:ascii="Arial Narrow" w:hAnsi="Arial Narrow"/>
        </w:rPr>
      </w:pPr>
      <w:r>
        <w:rPr>
          <w:rFonts w:ascii="Arial Narrow" w:hAnsi="Arial Narrow"/>
        </w:rPr>
        <w:t>Alan S. Kopit</w:t>
      </w:r>
      <w:r>
        <w:rPr>
          <w:rFonts w:ascii="Arial Narrow" w:hAnsi="Arial Narrow"/>
        </w:rPr>
        <w:tab/>
        <w:t>Bankruptcy &amp; Creditor Rights/Insolvency &amp; Reorganization Law; Bankruptcy Litigation; Commercial Litigation; Securities Litigation</w:t>
      </w:r>
    </w:p>
    <w:p>
      <w:pPr>
        <w:spacing w:after="120" w:line="240" w:lineRule="auto"/>
        <w:ind w:left="2160" w:hanging="2160"/>
        <w:rPr>
          <w:rFonts w:ascii="Arial Narrow" w:hAnsi="Arial Narrow"/>
        </w:rPr>
      </w:pPr>
      <w:r>
        <w:rPr>
          <w:rFonts w:ascii="Arial Narrow" w:hAnsi="Arial Narrow"/>
        </w:rPr>
        <w:t>Stephen J. Knerly Jr.</w:t>
      </w:r>
      <w:r>
        <w:rPr>
          <w:rFonts w:ascii="Arial Narrow" w:hAnsi="Arial Narrow"/>
        </w:rPr>
        <w:tab/>
        <w:t>Non-Profit/Charities Law (Lawyer of the Year - Cleveland)</w:t>
      </w:r>
    </w:p>
    <w:p>
      <w:pPr>
        <w:spacing w:after="115" w:line="240" w:lineRule="atLeast"/>
        <w:ind w:left="2160" w:hanging="2160"/>
        <w:rPr>
          <w:rFonts w:ascii="Arial Narrow" w:hAnsi="Arial Narrow"/>
        </w:rPr>
      </w:pPr>
      <w:r>
        <w:rPr>
          <w:rFonts w:ascii="Arial Narrow" w:hAnsi="Arial Narrow"/>
        </w:rPr>
        <w:t>Harry D. Mercer</w:t>
      </w:r>
      <w:r>
        <w:rPr>
          <w:rFonts w:ascii="Arial Narrow" w:hAnsi="Arial Narrow"/>
        </w:rPr>
        <w:tab/>
        <w:t>Corporate Law; Equipment Finance Law</w:t>
      </w:r>
    </w:p>
    <w:p>
      <w:pPr>
        <w:spacing w:after="115" w:line="240" w:lineRule="atLeast"/>
        <w:ind w:left="2160" w:hanging="2160"/>
        <w:rPr>
          <w:rFonts w:ascii="Arial Narrow" w:hAnsi="Arial Narrow"/>
        </w:rPr>
      </w:pPr>
      <w:r>
        <w:rPr>
          <w:rFonts w:ascii="Arial Narrow" w:hAnsi="Arial Narrow"/>
        </w:rPr>
        <w:t>(Retired)</w:t>
      </w:r>
    </w:p>
    <w:p>
      <w:pPr>
        <w:spacing w:after="115" w:line="240" w:lineRule="atLeast"/>
        <w:rPr>
          <w:rFonts w:ascii="Arial Narrow" w:hAnsi="Arial Narrow"/>
        </w:rPr>
      </w:pPr>
      <w:r>
        <w:rPr>
          <w:rFonts w:ascii="Arial Narrow" w:hAnsi="Arial Narrow"/>
        </w:rPr>
        <w:t>F. Ronald O’Keefe</w:t>
      </w:r>
      <w:r>
        <w:rPr>
          <w:rFonts w:ascii="Arial Narrow" w:hAnsi="Arial Narrow"/>
        </w:rPr>
        <w:tab/>
        <w:t>Corporate Law</w:t>
      </w:r>
    </w:p>
    <w:p>
      <w:pPr>
        <w:spacing w:after="115" w:line="240" w:lineRule="atLeast"/>
        <w:rPr>
          <w:rFonts w:ascii="Arial Narrow" w:hAnsi="Arial Narrow"/>
        </w:rPr>
      </w:pPr>
      <w:r>
        <w:rPr>
          <w:rFonts w:ascii="Arial Narrow" w:hAnsi="Arial Narrow"/>
        </w:rPr>
        <w:t>Lawrence E. Oscar</w:t>
      </w:r>
      <w:r>
        <w:rPr>
          <w:rFonts w:ascii="Arial Narrow" w:hAnsi="Arial Narrow"/>
        </w:rPr>
        <w:tab/>
        <w:t>Bankruptcy &amp; Creditor Debtor Rights/Insolvency &amp; Reorganization Law</w:t>
      </w:r>
    </w:p>
    <w:p>
      <w:pPr>
        <w:spacing w:after="115" w:line="240" w:lineRule="atLeast"/>
        <w:ind w:left="2160" w:hanging="2160"/>
        <w:rPr>
          <w:rFonts w:ascii="Arial Narrow" w:hAnsi="Arial Narrow"/>
        </w:rPr>
      </w:pPr>
      <w:r>
        <w:rPr>
          <w:rFonts w:ascii="Arial Narrow" w:hAnsi="Arial Narrow"/>
        </w:rPr>
        <w:t>Stephen P. Owendoff</w:t>
      </w:r>
      <w:r>
        <w:rPr>
          <w:rFonts w:ascii="Arial Narrow" w:hAnsi="Arial Narrow"/>
        </w:rPr>
        <w:tab/>
        <w:t>Corporate Law; Real Estate Law</w:t>
      </w:r>
    </w:p>
    <w:p>
      <w:pPr>
        <w:spacing w:after="115" w:line="240" w:lineRule="atLeast"/>
        <w:ind w:left="2160" w:hanging="2160"/>
        <w:rPr>
          <w:rFonts w:ascii="Arial Narrow" w:hAnsi="Arial Narrow"/>
        </w:rPr>
      </w:pPr>
      <w:r>
        <w:rPr>
          <w:rFonts w:ascii="Arial Narrow" w:hAnsi="Arial Narrow"/>
        </w:rPr>
        <w:t>Lee D. Powar</w:t>
      </w:r>
      <w:r>
        <w:rPr>
          <w:rFonts w:ascii="Arial Narrow" w:hAnsi="Arial Narrow"/>
        </w:rPr>
        <w:tab/>
        <w:t>Banking &amp; Finance Law; Bankruptcy &amp; Creditor Debtor Rights/Insolvency &amp; Reorganization Law (Lawyer of the Year - Cleveland); Equipment Finance Law</w:t>
      </w:r>
    </w:p>
    <w:p>
      <w:pPr>
        <w:spacing w:after="115" w:line="240" w:lineRule="atLeast"/>
        <w:ind w:left="2160" w:hanging="2160"/>
        <w:rPr>
          <w:rFonts w:ascii="Arial Narrow" w:hAnsi="Arial Narrow"/>
        </w:rPr>
      </w:pPr>
      <w:r>
        <w:rPr>
          <w:rFonts w:ascii="Arial Narrow" w:hAnsi="Arial Narrow"/>
        </w:rPr>
        <w:t>Richard T. Prasse</w:t>
      </w:r>
      <w:r>
        <w:rPr>
          <w:rFonts w:ascii="Arial Narrow" w:hAnsi="Arial Narrow"/>
        </w:rPr>
        <w:tab/>
        <w:t>Employment Law – Management; Labor Law - Management</w:t>
      </w:r>
    </w:p>
    <w:p>
      <w:pPr>
        <w:spacing w:after="120" w:line="240" w:lineRule="auto"/>
        <w:ind w:left="2160" w:hanging="2160"/>
        <w:rPr>
          <w:rFonts w:ascii="Arial Narrow" w:hAnsi="Arial Narrow"/>
        </w:rPr>
      </w:pPr>
      <w:r>
        <w:rPr>
          <w:rFonts w:ascii="Arial Narrow" w:hAnsi="Arial Narrow"/>
        </w:rPr>
        <w:t>Rob Remington</w:t>
      </w:r>
      <w:r>
        <w:rPr>
          <w:rFonts w:ascii="Arial Narrow" w:hAnsi="Arial Narrow"/>
        </w:rPr>
        <w:tab/>
        <w:t>Construction Law; Litigation - Construction</w:t>
      </w:r>
    </w:p>
    <w:p>
      <w:pPr>
        <w:spacing w:after="120" w:line="240" w:lineRule="auto"/>
        <w:ind w:left="2160" w:hanging="2160"/>
        <w:rPr>
          <w:rFonts w:ascii="Arial Narrow" w:hAnsi="Arial Narrow"/>
        </w:rPr>
      </w:pPr>
      <w:r>
        <w:rPr>
          <w:rFonts w:ascii="Arial Narrow" w:hAnsi="Arial Narrow"/>
        </w:rPr>
        <w:t>Dennis R. Rose</w:t>
      </w:r>
      <w:r>
        <w:rPr>
          <w:rFonts w:ascii="Arial Narrow" w:hAnsi="Arial Narrow"/>
        </w:rPr>
        <w:tab/>
        <w:t>Commercial Litigation; Trusts &amp; Real Estates Litigation</w:t>
      </w:r>
    </w:p>
    <w:p>
      <w:pPr>
        <w:spacing w:after="120" w:line="240" w:lineRule="auto"/>
        <w:ind w:left="2160" w:hanging="2160"/>
        <w:rPr>
          <w:rFonts w:ascii="Arial Narrow" w:hAnsi="Arial Narrow"/>
        </w:rPr>
      </w:pPr>
      <w:r>
        <w:rPr>
          <w:rFonts w:ascii="Arial Narrow" w:hAnsi="Arial Narrow"/>
        </w:rPr>
        <w:t>Robert A. Ross</w:t>
      </w:r>
      <w:r>
        <w:rPr>
          <w:rFonts w:ascii="Arial Narrow" w:hAnsi="Arial Narrow"/>
        </w:rPr>
        <w:tab/>
        <w:t>International Trade &amp; Finance Law; Corporate Law</w:t>
      </w:r>
    </w:p>
    <w:p>
      <w:pPr>
        <w:spacing w:after="120" w:line="240" w:lineRule="auto"/>
        <w:ind w:left="2160" w:hanging="2160"/>
        <w:rPr>
          <w:rFonts w:ascii="Arial Narrow" w:hAnsi="Arial Narrow"/>
        </w:rPr>
      </w:pPr>
      <w:r>
        <w:rPr>
          <w:rFonts w:ascii="Arial Narrow" w:hAnsi="Arial Narrow"/>
        </w:rPr>
        <w:t>Mark F. Swary</w:t>
      </w:r>
      <w:r>
        <w:rPr>
          <w:rFonts w:ascii="Arial Narrow" w:hAnsi="Arial Narrow"/>
        </w:rPr>
        <w:tab/>
        <w:t>Trusts &amp; Estates</w:t>
      </w:r>
    </w:p>
    <w:p>
      <w:pPr>
        <w:spacing w:after="120" w:line="240" w:lineRule="auto"/>
        <w:ind w:left="2160" w:hanging="2160"/>
        <w:rPr>
          <w:rFonts w:ascii="Arial Narrow" w:hAnsi="Arial Narrow"/>
        </w:rPr>
      </w:pPr>
      <w:r>
        <w:rPr>
          <w:rFonts w:ascii="Arial Narrow" w:hAnsi="Arial Narrow"/>
        </w:rPr>
        <w:t>Nancy A. Valentine</w:t>
      </w:r>
      <w:r>
        <w:rPr>
          <w:rFonts w:ascii="Arial Narrow" w:hAnsi="Arial Narrow"/>
        </w:rPr>
        <w:tab/>
        <w:t>Bankruptcy &amp; Creditor Debtor Rights/Insolvency &amp; Reorganization Law; Bankruptcy Litigation</w:t>
      </w:r>
    </w:p>
    <w:p>
      <w:pPr>
        <w:spacing w:after="120" w:line="240" w:lineRule="auto"/>
        <w:ind w:left="2160" w:hanging="2160"/>
        <w:rPr>
          <w:rFonts w:ascii="Arial Narrow" w:hAnsi="Arial Narrow"/>
        </w:rPr>
      </w:pPr>
      <w:r>
        <w:rPr>
          <w:rFonts w:ascii="Arial Narrow" w:hAnsi="Arial Narrow"/>
        </w:rPr>
        <w:t>Craig Owen White</w:t>
      </w:r>
      <w:r>
        <w:rPr>
          <w:rFonts w:ascii="Arial Narrow" w:hAnsi="Arial Narrow"/>
        </w:rPr>
        <w:tab/>
        <w:t>Corporate Compliance Law; Corporate Governance Law</w:t>
      </w:r>
    </w:p>
    <w:p>
      <w:pPr>
        <w:spacing w:after="120" w:line="240" w:lineRule="auto"/>
        <w:ind w:left="2160" w:hanging="2160"/>
        <w:rPr>
          <w:rFonts w:ascii="Arial Narrow" w:hAnsi="Arial Narrow"/>
        </w:rPr>
      </w:pPr>
    </w:p>
    <w:p>
      <w:pPr>
        <w:spacing w:after="120" w:line="240" w:lineRule="auto"/>
        <w:ind w:left="2160" w:hanging="216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Columbus, Ohio</w:t>
      </w:r>
    </w:p>
    <w:p>
      <w:pPr>
        <w:spacing w:after="120" w:line="240" w:lineRule="auto"/>
        <w:ind w:left="2160" w:hanging="2160"/>
        <w:rPr>
          <w:rFonts w:ascii="Arial Narrow" w:hAnsi="Arial Narrow"/>
        </w:rPr>
      </w:pPr>
      <w:r>
        <w:rPr>
          <w:rFonts w:ascii="Arial Narrow" w:hAnsi="Arial Narrow"/>
        </w:rPr>
        <w:t>Stephen E. Chappelear</w:t>
      </w:r>
      <w:r>
        <w:rPr>
          <w:rFonts w:ascii="Arial Narrow" w:hAnsi="Arial Narrow"/>
        </w:rPr>
        <w:tab/>
        <w:t>Commercial Litigation; Construction Litigation; Intellectual Property Litigation; Labor &amp; Employment Litigation; Trusts &amp; Estates Litigation</w:t>
      </w:r>
    </w:p>
    <w:p>
      <w:pPr>
        <w:spacing w:after="120" w:line="240" w:lineRule="auto"/>
        <w:ind w:left="2160" w:hanging="2160"/>
        <w:rPr>
          <w:rFonts w:ascii="Arial Narrow" w:hAnsi="Arial Narrow"/>
        </w:rPr>
      </w:pPr>
      <w:r>
        <w:rPr>
          <w:rFonts w:ascii="Arial Narrow" w:hAnsi="Arial Narrow"/>
        </w:rPr>
        <w:t>Marc J. Kessler</w:t>
      </w:r>
      <w:r>
        <w:rPr>
          <w:rFonts w:ascii="Arial Narrow" w:hAnsi="Arial Narrow"/>
        </w:rPr>
        <w:tab/>
        <w:t>Franchise Law</w:t>
      </w:r>
    </w:p>
    <w:p>
      <w:pPr>
        <w:spacing w:after="120" w:line="240" w:lineRule="auto"/>
        <w:ind w:left="2160" w:hanging="2160"/>
        <w:rPr>
          <w:rFonts w:ascii="Arial Narrow" w:hAnsi="Arial Narrow"/>
        </w:rPr>
      </w:pPr>
      <w:r>
        <w:rPr>
          <w:rFonts w:ascii="Arial Narrow" w:hAnsi="Arial Narrow"/>
        </w:rPr>
        <w:t>Thomas J. Riley</w:t>
      </w:r>
      <w:r>
        <w:rPr>
          <w:rFonts w:ascii="Arial Narrow" w:hAnsi="Arial Narrow"/>
        </w:rPr>
        <w:tab/>
        <w:t>Business Organizations</w:t>
      </w:r>
    </w:p>
    <w:p>
      <w:pPr>
        <w:spacing w:after="120" w:line="240" w:lineRule="auto"/>
        <w:ind w:left="2160" w:hanging="216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Douglas J. Suter</w:t>
      </w:r>
      <w:r>
        <w:rPr>
          <w:rFonts w:ascii="Arial Narrow" w:hAnsi="Arial Narrow"/>
        </w:rPr>
        <w:tab/>
        <w:t>Employment Law – Management; Labor Law - Management</w:t>
      </w:r>
    </w:p>
    <w:p>
      <w:pPr>
        <w:spacing w:after="120" w:line="240" w:lineRule="auto"/>
        <w:ind w:left="2160" w:hanging="2160"/>
        <w:rPr>
          <w:rFonts w:ascii="Arial Narrow" w:hAnsi="Arial Narrow"/>
        </w:rPr>
      </w:pPr>
    </w:p>
    <w:p>
      <w:pPr>
        <w:spacing w:after="120" w:line="240" w:lineRule="auto"/>
        <w:ind w:left="2160" w:hanging="216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Akron, Ohio</w:t>
      </w:r>
    </w:p>
    <w:p>
      <w:pPr>
        <w:spacing w:after="120" w:line="240" w:lineRule="auto"/>
        <w:ind w:left="2160" w:hanging="2160"/>
        <w:rPr>
          <w:rFonts w:ascii="Arial Narrow" w:hAnsi="Arial Narrow"/>
        </w:rPr>
      </w:pPr>
      <w:r>
        <w:rPr>
          <w:rFonts w:ascii="Arial Narrow" w:hAnsi="Arial Narrow"/>
        </w:rPr>
        <w:t>Warren Goldenberg</w:t>
      </w:r>
      <w:r>
        <w:rPr>
          <w:rFonts w:ascii="Arial Narrow" w:hAnsi="Arial Narrow"/>
        </w:rPr>
        <w:tab/>
        <w:t>Venture Capital Law</w:t>
      </w:r>
    </w:p>
    <w:p>
      <w:pPr>
        <w:spacing w:after="120" w:line="240" w:lineRule="auto"/>
        <w:ind w:left="2160" w:hanging="2160"/>
        <w:rPr>
          <w:rFonts w:ascii="Arial Narrow" w:hAnsi="Arial Narrow"/>
        </w:rPr>
      </w:pPr>
      <w:r>
        <w:rPr>
          <w:rFonts w:ascii="Arial Narrow" w:hAnsi="Arial Narrow"/>
        </w:rPr>
        <w:t>Louis F. Wagner</w:t>
      </w:r>
      <w:r>
        <w:rPr>
          <w:rFonts w:ascii="Arial Narrow" w:hAnsi="Arial Narrow"/>
        </w:rPr>
        <w:tab/>
        <w:t>Litigation - Intellectual Property; Patent Litigation; Patent Law; Trademark Law</w:t>
      </w:r>
    </w:p>
    <w:p>
      <w:pPr>
        <w:spacing w:after="120" w:line="240" w:lineRule="auto"/>
        <w:ind w:left="2160" w:hanging="2160"/>
        <w:rPr>
          <w:rFonts w:ascii="Arial Narrow" w:hAnsi="Arial Narrow"/>
        </w:rPr>
      </w:pPr>
      <w:r>
        <w:rPr>
          <w:rFonts w:ascii="Arial Narrow" w:hAnsi="Arial Narrow"/>
        </w:rPr>
        <w:t>Mark A. Watkins</w:t>
      </w:r>
      <w:r>
        <w:rPr>
          <w:rFonts w:ascii="Arial Narrow" w:hAnsi="Arial Narrow"/>
        </w:rPr>
        <w:tab/>
        <w:t>Litigation - Intellectual Property (Lawyer of the Year - Akron); Patent Law; Trademark Law</w:t>
      </w:r>
    </w:p>
    <w:p>
      <w:pPr>
        <w:spacing w:after="120" w:line="240" w:lineRule="auto"/>
        <w:ind w:left="2160" w:hanging="2160"/>
        <w:rPr>
          <w:rFonts w:ascii="Arial Narrow" w:hAnsi="Arial Narrow"/>
        </w:rPr>
      </w:pPr>
    </w:p>
    <w:p>
      <w:pPr>
        <w:spacing w:after="120" w:line="240" w:lineRule="auto"/>
        <w:ind w:left="2160" w:hanging="216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Naples, Florida</w:t>
      </w:r>
    </w:p>
    <w:p>
      <w:pPr>
        <w:spacing w:after="120" w:line="240" w:lineRule="auto"/>
        <w:ind w:left="2160" w:hanging="2160"/>
        <w:rPr>
          <w:rFonts w:ascii="Arial Narrow" w:hAnsi="Arial Narrow"/>
        </w:rPr>
      </w:pPr>
      <w:r>
        <w:rPr>
          <w:rFonts w:ascii="Arial Narrow" w:hAnsi="Arial Narrow"/>
        </w:rPr>
        <w:t>Jeffrey M. Folkman</w:t>
      </w:r>
      <w:r>
        <w:rPr>
          <w:rFonts w:ascii="Arial Narrow" w:hAnsi="Arial Narrow"/>
        </w:rPr>
        <w:tab/>
        <w:t>Employee Benefits (ERISA) Law; Tax Law</w:t>
      </w:r>
    </w:p>
    <w:p>
      <w:pPr>
        <w:spacing w:after="120" w:line="240" w:lineRule="auto"/>
        <w:ind w:left="2160" w:hanging="2160"/>
        <w:rPr>
          <w:rFonts w:ascii="Arial Narrow" w:hAnsi="Arial Narrow"/>
        </w:rPr>
      </w:pPr>
      <w:r>
        <w:rPr>
          <w:rFonts w:ascii="Arial Narrow" w:hAnsi="Arial Narrow"/>
        </w:rPr>
        <w:t>Andrew J. Krause</w:t>
      </w:r>
      <w:r>
        <w:rPr>
          <w:rFonts w:ascii="Arial Narrow" w:hAnsi="Arial Narrow"/>
        </w:rPr>
        <w:tab/>
        <w:t>Trusts &amp; Estates</w:t>
      </w:r>
    </w:p>
    <w:p>
      <w:pPr>
        <w:spacing w:after="120" w:line="240" w:lineRule="auto"/>
        <w:ind w:left="2160" w:hanging="2160"/>
        <w:rPr>
          <w:rFonts w:ascii="Arial Narrow" w:hAnsi="Arial Narrow"/>
        </w:rPr>
      </w:pPr>
      <w:r>
        <w:rPr>
          <w:rFonts w:ascii="Arial Narrow" w:hAnsi="Arial Narrow"/>
        </w:rPr>
        <w:t>Jeanne L. Seewald</w:t>
      </w:r>
      <w:r>
        <w:rPr>
          <w:rFonts w:ascii="Arial Narrow" w:hAnsi="Arial Narrow"/>
        </w:rPr>
        <w:tab/>
        <w:t>Administrative/Regulatory Law; Copyright Law; Intellectual Property Litigation; Mergers &amp; Acquisitions Law; Trademark Law</w:t>
      </w:r>
    </w:p>
    <w:p>
      <w:pPr>
        <w:spacing w:after="120" w:line="240" w:lineRule="auto"/>
        <w:ind w:left="2160" w:hanging="2160"/>
        <w:rPr>
          <w:rFonts w:ascii="Arial Narrow" w:hAnsi="Arial Narrow"/>
        </w:rPr>
      </w:pPr>
      <w:r>
        <w:rPr>
          <w:rFonts w:ascii="Arial Narrow" w:hAnsi="Arial Narrow"/>
        </w:rPr>
        <w:t>John L. Stinziano</w:t>
      </w:r>
      <w:r>
        <w:rPr>
          <w:rFonts w:ascii="Arial Narrow" w:hAnsi="Arial Narrow"/>
        </w:rPr>
        <w:tab/>
        <w:t>Trusts &amp; Estates</w:t>
      </w:r>
    </w:p>
    <w:p>
      <w:pPr>
        <w:spacing w:after="120" w:line="240" w:lineRule="auto"/>
        <w:ind w:left="2160" w:hanging="2160"/>
        <w:rPr>
          <w:rFonts w:ascii="Arial Narrow" w:hAnsi="Arial Narrow"/>
        </w:rPr>
      </w:pPr>
    </w:p>
    <w:p>
      <w:pPr>
        <w:spacing w:after="120" w:line="240" w:lineRule="auto"/>
        <w:ind w:left="2160" w:hanging="216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Fort Myers, Florida</w:t>
      </w:r>
    </w:p>
    <w:p>
      <w:pPr>
        <w:spacing w:after="120" w:line="240" w:lineRule="auto"/>
        <w:ind w:left="2160" w:hanging="2160"/>
        <w:rPr>
          <w:rFonts w:ascii="Arial Narrow" w:hAnsi="Arial Narrow"/>
        </w:rPr>
      </w:pPr>
      <w:r>
        <w:rPr>
          <w:rFonts w:ascii="Arial Narrow" w:hAnsi="Arial Narrow"/>
        </w:rPr>
        <w:t>Theodore L. Tripp, Jr.</w:t>
      </w:r>
      <w:r>
        <w:rPr>
          <w:rFonts w:ascii="Arial Narrow" w:hAnsi="Arial Narrow"/>
        </w:rPr>
        <w:tab/>
        <w:t>Bet-the-Company Litigation; Commercial Litigation; Real Estate Litigation; Trusts &amp; Estates Litigation</w:t>
      </w:r>
    </w:p>
    <w:p>
      <w:pPr>
        <w:spacing w:after="0" w:line="360" w:lineRule="auto"/>
        <w:ind w:left="2160" w:hanging="2160"/>
        <w:jc w:val="both"/>
        <w:rPr>
          <w:rFonts w:ascii="Arial Narrow" w:hAnsi="Arial Narrow"/>
        </w:rPr>
      </w:pPr>
    </w:p>
    <w:p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About Hahn Loeser</w:t>
      </w:r>
    </w:p>
    <w:p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Established in 1920, Hahn Loeser is a full-service law firm of more than 130 attorneys with offices in Cleveland, Columbus, and Akron, Ohio; Naples and Fort Myers, Florida; Indianapolis, Indiana; and San Diego, California. More information on the firm can be found at www.hahnlaw.com. </w:t>
      </w:r>
    </w:p>
    <w:p>
      <w:pPr>
        <w:spacing w:after="0" w:line="360" w:lineRule="auto"/>
        <w:jc w:val="both"/>
        <w:rPr>
          <w:rFonts w:ascii="Arial Narrow" w:hAnsi="Arial Narrow"/>
        </w:rPr>
      </w:pPr>
    </w:p>
    <w:p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Resources</w:t>
      </w:r>
    </w:p>
    <w:p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Tweet: </w:t>
      </w:r>
      <w:r>
        <w:rPr>
          <w:rFonts w:ascii="Arial Narrow" w:hAnsi="Arial Narrow"/>
        </w:rPr>
        <w:t xml:space="preserve">41 @HahnLoeser attorneys named to The Best Lawyers in America 2013 Edition </w:t>
      </w:r>
      <w:r>
        <w:rPr>
          <w:rFonts w:ascii="Arial Narrow" w:hAnsi="Arial Narrow"/>
          <w:color w:val="1F497D" w:themeColor="text2"/>
        </w:rPr>
        <w:t>[link]</w:t>
      </w:r>
    </w:p>
    <w:p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@</w:t>
      </w:r>
      <w:proofErr w:type="spellStart"/>
      <w:r>
        <w:rPr>
          <w:rFonts w:ascii="Arial Narrow" w:hAnsi="Arial Narrow"/>
        </w:rPr>
        <w:t>BestLawyers</w:t>
      </w:r>
      <w:proofErr w:type="spellEnd"/>
      <w:r>
        <w:rPr>
          <w:rFonts w:ascii="Arial Narrow" w:hAnsi="Arial Narrow"/>
        </w:rPr>
        <w:t xml:space="preserve"> @</w:t>
      </w:r>
      <w:proofErr w:type="spellStart"/>
      <w:r>
        <w:rPr>
          <w:rFonts w:ascii="Arial Narrow" w:hAnsi="Arial Narrow"/>
        </w:rPr>
        <w:t>JSeewald</w:t>
      </w:r>
      <w:proofErr w:type="spellEnd"/>
      <w:r>
        <w:rPr>
          <w:rFonts w:ascii="Arial Narrow" w:hAnsi="Arial Narrow"/>
        </w:rPr>
        <w:t xml:space="preserve"> @</w:t>
      </w:r>
      <w:proofErr w:type="spellStart"/>
      <w:r>
        <w:rPr>
          <w:rFonts w:ascii="Arial Narrow" w:hAnsi="Arial Narrow"/>
        </w:rPr>
        <w:t>SteveChappelear</w:t>
      </w:r>
      <w:proofErr w:type="spellEnd"/>
      <w:r>
        <w:rPr>
          <w:rFonts w:ascii="Arial Narrow" w:hAnsi="Arial Narrow"/>
        </w:rPr>
        <w:t xml:space="preserve"> </w:t>
      </w:r>
    </w:p>
    <w:p>
      <w:pPr>
        <w:spacing w:after="0" w:line="240" w:lineRule="auto"/>
        <w:jc w:val="both"/>
        <w:rPr>
          <w:rFonts w:ascii="Arial Narrow" w:hAnsi="Arial Narrow"/>
        </w:rPr>
      </w:pPr>
    </w:p>
    <w:p>
      <w:pPr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>The Best Lawyers in America</w:t>
      </w:r>
      <w:r>
        <w:rPr>
          <w:rFonts w:ascii="Arial Narrow" w:hAnsi="Arial Narrow"/>
          <w:vertAlign w:val="superscript"/>
        </w:rPr>
        <w:t>®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</w:rPr>
        <w:t>2013. Copyright 2012 by Woodward/White, Inc., Aiken, S.C.</w:t>
      </w:r>
    </w:p>
    <w:p>
      <w:pPr>
        <w:spacing w:after="0" w:line="240" w:lineRule="auto"/>
        <w:jc w:val="both"/>
        <w:rPr>
          <w:rFonts w:ascii="Arial Narrow" w:hAnsi="Arial Narrow"/>
          <w:i/>
        </w:rPr>
      </w:pPr>
    </w:p>
    <w:p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###</w:t>
      </w:r>
    </w:p>
    <w:p>
      <w:pPr>
        <w:spacing w:after="0" w:line="240" w:lineRule="auto"/>
        <w:jc w:val="both"/>
        <w:rPr>
          <w:rFonts w:ascii="Arial Narrow" w:hAnsi="Arial Narrow"/>
        </w:rPr>
      </w:pPr>
    </w:p>
    <w:sectPr>
      <w:headerReference w:type="default" r:id="rId8"/>
      <w:pgSz w:w="12240" w:h="15840" w:code="1"/>
      <w:pgMar w:top="2592" w:right="1440" w:bottom="1440" w:left="1440" w:header="1872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20207" w:usb1="000200A8" w:usb2="00A816CF" w:usb3="00000001" w:csb0="00A80085" w:csb1="179F138A"/>
  </w:font>
  <w:font w:name="TradeGothic LT Extended">
    <w:panose1 w:val="02000504040000020004"/>
    <w:charset w:val="00"/>
    <w:family w:val="auto"/>
    <w:pitch w:val="variable"/>
    <w:sig w:usb0="00000003" w:usb1="00000000" w:usb2="00000000" w:usb3="00000000" w:csb0="00000001" w:csb1="00000000"/>
  </w:font>
  <w:font w:name="Trade Gothic LT Std Cn">
    <w:panose1 w:val="00000506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rPr>
        <w:rFonts w:ascii="MS Reference Sans Serif" w:hAnsi="MS Reference Sans Serif"/>
        <w:sz w:val="40"/>
        <w:szCs w:val="40"/>
      </w:rPr>
    </w:pPr>
    <w:r>
      <w:rPr>
        <w:rFonts w:ascii="MS Reference Sans Serif" w:hAnsi="MS Reference Sans Serif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ge">
            <wp:posOffset>666750</wp:posOffset>
          </wp:positionV>
          <wp:extent cx="2628900" cy="266700"/>
          <wp:effectExtent l="19050" t="0" r="0" b="0"/>
          <wp:wrapNone/>
          <wp:docPr id="1" name="Picture 0" descr="HL Logo-PC good on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 Logo-PC good one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890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S Reference Sans Serif" w:hAnsi="MS Reference Sans Serif"/>
        <w:noProof/>
        <w:sz w:val="40"/>
        <w:szCs w:val="40"/>
      </w:rPr>
      <w:drawing>
        <wp:anchor distT="0" distB="0" distL="114300" distR="114300" simplePos="0" relativeHeight="251661312" behindDoc="0" locked="0" layoutInCell="0" allowOverlap="0">
          <wp:simplePos x="0" y="0"/>
          <wp:positionH relativeFrom="column">
            <wp:align>center</wp:align>
          </wp:positionH>
          <wp:positionV relativeFrom="page">
            <wp:posOffset>9296399</wp:posOffset>
          </wp:positionV>
          <wp:extent cx="6307166" cy="600075"/>
          <wp:effectExtent l="19050" t="0" r="0" b="0"/>
          <wp:wrapNone/>
          <wp:docPr id="2" name="Picture 0" descr="HLPMarketin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PMarketing2.jpg"/>
                  <pic:cNvPicPr/>
                </pic:nvPicPr>
                <pic:blipFill>
                  <a:blip r:embed="rId2"/>
                  <a:srcRect l="10256" t="30435" r="10577" b="18478"/>
                  <a:stretch>
                    <a:fillRect/>
                  </a:stretch>
                </pic:blipFill>
                <pic:spPr>
                  <a:xfrm>
                    <a:off x="0" y="0"/>
                    <a:ext cx="6322219" cy="6015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S Reference Sans Serif" w:hAnsi="MS Reference Sans Serif"/>
        <w:sz w:val="40"/>
        <w:szCs w:val="40"/>
      </w:rPr>
      <w:t>PRESS RELEASE</w:t>
    </w:r>
  </w:p>
  <w:p>
    <w:pPr>
      <w:pStyle w:val="Header"/>
      <w:rPr>
        <w:rFonts w:ascii="MS Reference Sans Serif" w:hAnsi="MS Reference Sans Serif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F4B4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696DC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B1C7A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806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BB0B4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88D3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1252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B0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58E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8C7C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5952B8"/>
    <w:multiLevelType w:val="hybridMultilevel"/>
    <w:tmpl w:val="529A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73242"/>
    <w:multiLevelType w:val="multilevel"/>
    <w:tmpl w:val="E91A1F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pStyle w:val="Heading7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2">
    <w:nsid w:val="30530D85"/>
    <w:multiLevelType w:val="hybridMultilevel"/>
    <w:tmpl w:val="AAE49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9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oNotTrackMov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h1"/>
    <w:basedOn w:val="Heading"/>
    <w:next w:val="BodyText"/>
    <w:qFormat/>
    <w:pPr>
      <w:numPr>
        <w:numId w:val="9"/>
      </w:numPr>
      <w:outlineLvl w:val="0"/>
    </w:pPr>
  </w:style>
  <w:style w:type="paragraph" w:styleId="Heading2">
    <w:name w:val="heading 2"/>
    <w:aliases w:val="h2"/>
    <w:basedOn w:val="Heading"/>
    <w:next w:val="BodyText"/>
    <w:qFormat/>
    <w:pPr>
      <w:numPr>
        <w:ilvl w:val="1"/>
        <w:numId w:val="9"/>
      </w:numPr>
      <w:outlineLvl w:val="1"/>
    </w:pPr>
  </w:style>
  <w:style w:type="paragraph" w:styleId="Heading3">
    <w:name w:val="heading 3"/>
    <w:aliases w:val="h3"/>
    <w:basedOn w:val="Heading"/>
    <w:next w:val="BodyText"/>
    <w:qFormat/>
    <w:pPr>
      <w:numPr>
        <w:ilvl w:val="2"/>
        <w:numId w:val="9"/>
      </w:numPr>
      <w:outlineLvl w:val="2"/>
    </w:pPr>
  </w:style>
  <w:style w:type="paragraph" w:styleId="Heading4">
    <w:name w:val="heading 4"/>
    <w:aliases w:val="h4"/>
    <w:basedOn w:val="Heading"/>
    <w:next w:val="BodyText"/>
    <w:qFormat/>
    <w:pPr>
      <w:numPr>
        <w:ilvl w:val="3"/>
        <w:numId w:val="9"/>
      </w:numPr>
      <w:outlineLvl w:val="3"/>
    </w:pPr>
  </w:style>
  <w:style w:type="paragraph" w:styleId="Heading5">
    <w:name w:val="heading 5"/>
    <w:aliases w:val="h5"/>
    <w:basedOn w:val="Heading"/>
    <w:next w:val="BodyText"/>
    <w:qFormat/>
    <w:pPr>
      <w:numPr>
        <w:ilvl w:val="4"/>
        <w:numId w:val="9"/>
      </w:numPr>
      <w:outlineLvl w:val="4"/>
    </w:pPr>
  </w:style>
  <w:style w:type="paragraph" w:styleId="Heading6">
    <w:name w:val="heading 6"/>
    <w:aliases w:val="h6"/>
    <w:basedOn w:val="Heading"/>
    <w:next w:val="Normal"/>
    <w:qFormat/>
    <w:pPr>
      <w:numPr>
        <w:ilvl w:val="5"/>
        <w:numId w:val="9"/>
      </w:numPr>
      <w:outlineLvl w:val="5"/>
    </w:pPr>
  </w:style>
  <w:style w:type="paragraph" w:styleId="Heading7">
    <w:name w:val="heading 7"/>
    <w:aliases w:val="h7"/>
    <w:basedOn w:val="Heading"/>
    <w:next w:val="Normal"/>
    <w:qFormat/>
    <w:pPr>
      <w:numPr>
        <w:ilvl w:val="6"/>
        <w:numId w:val="9"/>
      </w:numPr>
      <w:outlineLvl w:val="6"/>
    </w:pPr>
  </w:style>
  <w:style w:type="paragraph" w:styleId="Heading8">
    <w:name w:val="heading 8"/>
    <w:aliases w:val="h8"/>
    <w:basedOn w:val="Heading"/>
    <w:next w:val="Normal"/>
    <w:qFormat/>
    <w:pPr>
      <w:numPr>
        <w:ilvl w:val="7"/>
        <w:numId w:val="9"/>
      </w:numPr>
      <w:outlineLvl w:val="7"/>
    </w:pPr>
  </w:style>
  <w:style w:type="paragraph" w:styleId="Heading9">
    <w:name w:val="heading 9"/>
    <w:aliases w:val="h9"/>
    <w:basedOn w:val="Heading"/>
    <w:next w:val="Normal"/>
    <w:qFormat/>
    <w:pPr>
      <w:numPr>
        <w:ilvl w:val="8"/>
        <w:numId w:val="9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Double">
    <w:name w:val="Block 1&quot; Double"/>
    <w:aliases w:val="b2"/>
    <w:basedOn w:val="Normal"/>
    <w:pPr>
      <w:spacing w:after="0" w:line="480" w:lineRule="auto"/>
      <w:ind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FirstIndentDouble">
    <w:name w:val="Block 1&quot; First Indent Double"/>
    <w:aliases w:val="bl2"/>
    <w:basedOn w:val="Normal"/>
    <w:pPr>
      <w:spacing w:line="480" w:lineRule="auto"/>
      <w:ind w:right="1440"/>
      <w:jc w:val="both"/>
    </w:pPr>
  </w:style>
  <w:style w:type="paragraph" w:customStyle="1" w:styleId="Block1FirstIndent">
    <w:name w:val="Block 1&quot; First Indent"/>
    <w:aliases w:val="bl1"/>
    <w:basedOn w:val="Normal"/>
    <w:pPr>
      <w:spacing w:after="240" w:line="240" w:lineRule="auto"/>
      <w:ind w:left="1440" w:right="144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 1&quot;"/>
    <w:aliases w:val="b"/>
    <w:basedOn w:val="Normal"/>
    <w:pPr>
      <w:spacing w:after="240"/>
      <w:ind w:left="1440" w:right="1440"/>
      <w:jc w:val="both"/>
    </w:pPr>
  </w:style>
  <w:style w:type="paragraph" w:customStyle="1" w:styleId="BodyText5HangIndentDouble">
    <w:name w:val="Body Text .5&quot; Hang Indent Double"/>
    <w:aliases w:val="d1"/>
    <w:basedOn w:val="Normal"/>
    <w:pPr>
      <w:spacing w:line="480" w:lineRule="auto"/>
      <w:ind w:left="720" w:firstLine="720"/>
      <w:jc w:val="both"/>
    </w:pPr>
  </w:style>
  <w:style w:type="paragraph" w:customStyle="1" w:styleId="BodyText1HangIndentDouble">
    <w:name w:val="Body Text 1&quot; Hang Indent Double"/>
    <w:aliases w:val="d2"/>
    <w:basedOn w:val="Normal"/>
    <w:pPr>
      <w:spacing w:line="480" w:lineRule="auto"/>
      <w:ind w:left="1440" w:firstLine="720"/>
      <w:jc w:val="both"/>
    </w:pPr>
  </w:style>
  <w:style w:type="paragraph" w:styleId="BodyText2">
    <w:name w:val="Body Text 2"/>
    <w:basedOn w:val="Normal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Double">
    <w:name w:val="Body Text Double"/>
    <w:aliases w:val="bd"/>
    <w:basedOn w:val="Normal"/>
    <w:pPr>
      <w:spacing w:line="480" w:lineRule="auto"/>
      <w:jc w:val="both"/>
    </w:pPr>
  </w:style>
  <w:style w:type="paragraph" w:customStyle="1" w:styleId="BodyTextFirstIndentDouble">
    <w:name w:val="Body Text First Indent Double"/>
    <w:aliases w:val="bfd"/>
    <w:basedOn w:val="Normal"/>
    <w:pPr>
      <w:spacing w:line="480" w:lineRule="auto"/>
      <w:ind w:firstLine="720"/>
      <w:jc w:val="both"/>
    </w:pPr>
  </w:style>
  <w:style w:type="paragraph" w:customStyle="1" w:styleId="BodyTextFirstIndentSingle">
    <w:name w:val="Body Text First Indent Single"/>
    <w:aliases w:val="bfs"/>
    <w:basedOn w:val="Normal"/>
    <w:pPr>
      <w:spacing w:after="240"/>
      <w:ind w:firstLine="720"/>
      <w:jc w:val="both"/>
    </w:pPr>
  </w:style>
  <w:style w:type="paragraph" w:styleId="BodyTextIndent2">
    <w:name w:val="Body Text Indent 2"/>
    <w:basedOn w:val="Normal"/>
    <w:pPr>
      <w:spacing w:after="120" w:line="48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pPr>
      <w:spacing w:after="120" w:line="240" w:lineRule="auto"/>
      <w:ind w:left="36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aliases w:val="bi"/>
    <w:basedOn w:val="Normal"/>
    <w:pPr>
      <w:spacing w:after="24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Single">
    <w:name w:val="Body Text Single"/>
    <w:aliases w:val="bs"/>
    <w:basedOn w:val="Normal"/>
    <w:qFormat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aliases w:val="bt"/>
    <w:basedOn w:val="Normal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ocID">
    <w:name w:val="DocID"/>
    <w:basedOn w:val="DefaultParagraphFont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</w:rPr>
  </w:style>
  <w:style w:type="paragraph" w:styleId="EnvelopeReturn">
    <w:name w:val="envelope return"/>
    <w:basedOn w:val="Normal"/>
    <w:pPr>
      <w:spacing w:after="0" w:line="240" w:lineRule="auto"/>
    </w:pPr>
    <w:rPr>
      <w:rFonts w:ascii="Times New Roman" w:eastAsia="Times New Roman" w:hAnsi="Times New Roman" w:cs="Arial"/>
      <w:sz w:val="20"/>
      <w:szCs w:val="20"/>
    </w:rPr>
  </w:style>
  <w:style w:type="paragraph" w:customStyle="1" w:styleId="Footnote">
    <w:name w:val="Footnote"/>
    <w:basedOn w:val="Normal"/>
    <w:rPr>
      <w:sz w:val="20"/>
      <w:szCs w:val="20"/>
    </w:rPr>
  </w:style>
  <w:style w:type="paragraph" w:customStyle="1" w:styleId="Footnote1Hang">
    <w:name w:val="Footnote .1 Hang"/>
    <w:basedOn w:val="Normal"/>
    <w:pPr>
      <w:ind w:left="144" w:hanging="144"/>
    </w:pPr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Normal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1notoc">
    <w:name w:val="heading 1 (no toc)"/>
    <w:basedOn w:val="Heading1"/>
    <w:next w:val="Normal"/>
    <w:pPr>
      <w:numPr>
        <w:numId w:val="0"/>
      </w:numPr>
      <w:outlineLvl w:val="9"/>
    </w:pPr>
  </w:style>
  <w:style w:type="paragraph" w:customStyle="1" w:styleId="heading2notoc">
    <w:name w:val="heading 2 (no toc)"/>
    <w:basedOn w:val="Heading2"/>
    <w:next w:val="Normal"/>
    <w:pPr>
      <w:numPr>
        <w:ilvl w:val="0"/>
        <w:numId w:val="0"/>
      </w:numPr>
      <w:outlineLvl w:val="9"/>
    </w:pPr>
  </w:style>
  <w:style w:type="paragraph" w:customStyle="1" w:styleId="heading3notoc">
    <w:name w:val="heading 3 (no toc)"/>
    <w:basedOn w:val="Heading3"/>
    <w:next w:val="Normal"/>
    <w:pPr>
      <w:numPr>
        <w:ilvl w:val="0"/>
        <w:numId w:val="0"/>
      </w:numPr>
      <w:outlineLvl w:val="9"/>
    </w:pPr>
  </w:style>
  <w:style w:type="paragraph" w:customStyle="1" w:styleId="heading4notoc">
    <w:name w:val="heading 4 (no toc)"/>
    <w:basedOn w:val="Heading4"/>
    <w:next w:val="Normal"/>
    <w:pPr>
      <w:numPr>
        <w:ilvl w:val="0"/>
        <w:numId w:val="0"/>
      </w:numPr>
      <w:outlineLvl w:val="9"/>
    </w:pPr>
  </w:style>
  <w:style w:type="paragraph" w:customStyle="1" w:styleId="heading5notoc">
    <w:name w:val="heading 5 (no toc)"/>
    <w:basedOn w:val="Heading5"/>
    <w:next w:val="Normal"/>
    <w:pPr>
      <w:numPr>
        <w:ilvl w:val="0"/>
        <w:numId w:val="0"/>
      </w:numPr>
      <w:outlineLvl w:val="9"/>
    </w:pPr>
  </w:style>
  <w:style w:type="paragraph" w:styleId="List2">
    <w:name w:val="List 2"/>
    <w:basedOn w:val="Normal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pPr>
      <w:spacing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4">
    <w:name w:val="List 4"/>
    <w:basedOn w:val="Normal"/>
    <w:pPr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5">
    <w:name w:val="List 5"/>
    <w:basedOn w:val="Normal"/>
    <w:pPr>
      <w:spacing w:after="0" w:line="240" w:lineRule="auto"/>
      <w:ind w:left="180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autoRedefine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Normal"/>
    <w:autoRedefine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4">
    <w:name w:val="List Bullet 4"/>
    <w:basedOn w:val="Normal"/>
    <w:autoRedefine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5">
    <w:name w:val="List Bullet 5"/>
    <w:basedOn w:val="Normal"/>
    <w:autoRedefine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aliases w:val="lb"/>
    <w:basedOn w:val="Normal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">
    <w:name w:val="List Continue"/>
    <w:basedOn w:val="Normal"/>
    <w:pPr>
      <w:spacing w:after="12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pPr>
      <w:spacing w:after="12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3">
    <w:name w:val="List Continue 3"/>
    <w:basedOn w:val="Normal"/>
    <w:pPr>
      <w:spacing w:after="12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4">
    <w:name w:val="List Continue 4"/>
    <w:basedOn w:val="Normal"/>
    <w:pPr>
      <w:spacing w:after="12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5">
    <w:name w:val="List Continue 5"/>
    <w:basedOn w:val="Normal"/>
    <w:pPr>
      <w:spacing w:after="120" w:line="240" w:lineRule="auto"/>
      <w:ind w:left="18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3">
    <w:name w:val="List Number 3"/>
    <w:basedOn w:val="Normal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4">
    <w:name w:val="List Number 4"/>
    <w:basedOn w:val="Normal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5">
    <w:name w:val="List Number 5"/>
    <w:basedOn w:val="Normal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aliases w:val="l"/>
    <w:basedOn w:val="Normal"/>
    <w:pPr>
      <w:spacing w:after="240" w:line="24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</w:style>
  <w:style w:type="paragraph" w:customStyle="1" w:styleId="PleadTitle">
    <w:name w:val="PleadTitle"/>
    <w:basedOn w:val="Normal"/>
    <w:pPr>
      <w:spacing w:after="240"/>
      <w:jc w:val="center"/>
    </w:pPr>
    <w:rPr>
      <w:rFonts w:ascii="Times New Roman Bold" w:hAnsi="Times New Roman Bold"/>
      <w:b/>
      <w:caps/>
      <w:u w:val="single"/>
    </w:rPr>
  </w:style>
  <w:style w:type="paragraph" w:customStyle="1" w:styleId="QuoteContinued">
    <w:name w:val="Quote Continued"/>
    <w:basedOn w:val="BodyText"/>
    <w:next w:val="BodyText"/>
  </w:style>
  <w:style w:type="paragraph" w:customStyle="1" w:styleId="Quote1">
    <w:name w:val="Quote1"/>
    <w:aliases w:val="q"/>
    <w:basedOn w:val="Normal"/>
    <w:next w:val="QuoteContinued"/>
    <w:pPr>
      <w:spacing w:before="240"/>
      <w:ind w:left="1440" w:right="1440"/>
    </w:pPr>
    <w:rPr>
      <w:szCs w:val="20"/>
    </w:rPr>
  </w:style>
  <w:style w:type="paragraph" w:customStyle="1" w:styleId="QuoteDoubleSpace">
    <w:name w:val="Quote DoubleSpace"/>
    <w:aliases w:val="qd"/>
    <w:basedOn w:val="Quote1"/>
    <w:next w:val="Normal"/>
    <w:pPr>
      <w:spacing w:line="480" w:lineRule="auto"/>
    </w:pPr>
  </w:style>
  <w:style w:type="paragraph" w:customStyle="1" w:styleId="Sig25">
    <w:name w:val="Sig 2.5"/>
    <w:aliases w:val="s1"/>
    <w:basedOn w:val="Normal"/>
    <w:pPr>
      <w:ind w:left="3600"/>
    </w:pPr>
  </w:style>
  <w:style w:type="paragraph" w:customStyle="1" w:styleId="Sig3">
    <w:name w:val="Sig 3"/>
    <w:aliases w:val="s2"/>
    <w:basedOn w:val="Normal"/>
    <w:pPr>
      <w:keepLines/>
      <w:ind w:left="4320"/>
    </w:pPr>
  </w:style>
  <w:style w:type="paragraph" w:customStyle="1" w:styleId="Sig35">
    <w:name w:val="Sig 3.5"/>
    <w:aliases w:val="s3"/>
    <w:basedOn w:val="Normal"/>
    <w:pPr>
      <w:keepLines/>
      <w:ind w:left="5040"/>
    </w:pPr>
  </w:style>
  <w:style w:type="paragraph" w:customStyle="1" w:styleId="Sig4">
    <w:name w:val="Sig 4"/>
    <w:aliases w:val="s4"/>
    <w:basedOn w:val="Normal"/>
    <w:pPr>
      <w:keepLines/>
      <w:ind w:left="5760"/>
    </w:pPr>
  </w:style>
  <w:style w:type="paragraph" w:styleId="Signature">
    <w:name w:val="Signature"/>
    <w:aliases w:val="s"/>
    <w:basedOn w:val="Normal"/>
    <w:pPr>
      <w:keepLines/>
      <w:spacing w:after="0" w:line="240" w:lineRule="auto"/>
      <w:ind w:left="5040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aliases w:val="st"/>
    <w:basedOn w:val="Normal"/>
    <w:qFormat/>
    <w:pPr>
      <w:keepNext/>
      <w:keepLines/>
      <w:spacing w:after="240" w:line="240" w:lineRule="auto"/>
      <w:jc w:val="center"/>
    </w:pPr>
    <w:rPr>
      <w:rFonts w:ascii="Times New Roman" w:eastAsia="Times New Roman" w:hAnsi="Times New Roman" w:cs="Arial"/>
      <w:sz w:val="24"/>
      <w:szCs w:val="24"/>
    </w:rPr>
  </w:style>
  <w:style w:type="paragraph" w:customStyle="1" w:styleId="TitleB">
    <w:name w:val="Title B"/>
    <w:aliases w:val="t3"/>
    <w:basedOn w:val="Normal"/>
    <w:pPr>
      <w:keepNext/>
      <w:keepLines/>
      <w:spacing w:after="240"/>
      <w:jc w:val="center"/>
    </w:pPr>
    <w:rPr>
      <w:b/>
      <w:bCs/>
      <w:caps/>
    </w:rPr>
  </w:style>
  <w:style w:type="paragraph" w:customStyle="1" w:styleId="TitleBU">
    <w:name w:val="Title BU"/>
    <w:aliases w:val="t1"/>
    <w:basedOn w:val="Normal"/>
    <w:pPr>
      <w:keepNext/>
      <w:keepLines/>
      <w:spacing w:after="240"/>
      <w:jc w:val="center"/>
    </w:pPr>
    <w:rPr>
      <w:b/>
      <w:bCs/>
      <w:caps/>
      <w:u w:val="single"/>
    </w:rPr>
  </w:style>
  <w:style w:type="paragraph" w:customStyle="1" w:styleId="TitleU">
    <w:name w:val="Title U"/>
    <w:aliases w:val="t2"/>
    <w:basedOn w:val="Normal"/>
    <w:pPr>
      <w:keepNext/>
      <w:keepLines/>
      <w:spacing w:after="240"/>
      <w:jc w:val="center"/>
    </w:pPr>
    <w:rPr>
      <w:caps/>
      <w:u w:val="single"/>
    </w:rPr>
  </w:style>
  <w:style w:type="paragraph" w:styleId="Title">
    <w:name w:val="Title"/>
    <w:aliases w:val="t"/>
    <w:basedOn w:val="Normal"/>
    <w:qFormat/>
    <w:pPr>
      <w:keepNext/>
      <w:keepLines/>
      <w:spacing w:after="240" w:line="240" w:lineRule="auto"/>
      <w:jc w:val="center"/>
    </w:pPr>
    <w:rPr>
      <w:rFonts w:ascii="Times New Roman" w:eastAsia="Times New Roman" w:hAnsi="Times New Roman" w:cs="Arial"/>
      <w:b/>
      <w:bCs/>
      <w:sz w:val="24"/>
      <w:szCs w:val="32"/>
    </w:rPr>
  </w:style>
  <w:style w:type="paragraph" w:customStyle="1" w:styleId="TitleTOA">
    <w:name w:val="TitleTOA"/>
    <w:basedOn w:val="Normal"/>
    <w:next w:val="Normal"/>
    <w:pPr>
      <w:jc w:val="center"/>
    </w:pPr>
    <w:rPr>
      <w:rFonts w:ascii="Times New Roman Bold" w:hAnsi="Times New Roman Bold"/>
      <w:b/>
      <w:caps/>
    </w:rPr>
  </w:style>
  <w:style w:type="paragraph" w:customStyle="1" w:styleId="TitleTOAPage">
    <w:name w:val="TitleTOAPage"/>
    <w:basedOn w:val="Normal"/>
    <w:next w:val="BodyTextSingle"/>
    <w:pPr>
      <w:jc w:val="right"/>
    </w:pPr>
  </w:style>
  <w:style w:type="paragraph" w:customStyle="1" w:styleId="TitleTOC">
    <w:name w:val="TitleTOC"/>
    <w:basedOn w:val="Normal"/>
    <w:next w:val="Normal"/>
    <w:pPr>
      <w:jc w:val="center"/>
    </w:pPr>
    <w:rPr>
      <w:rFonts w:ascii="Times New Roman Bold" w:hAnsi="Times New Roman Bold"/>
      <w:b/>
      <w:caps/>
    </w:rPr>
  </w:style>
  <w:style w:type="paragraph" w:customStyle="1" w:styleId="TitleTOCPage">
    <w:name w:val="TitleTOCPage"/>
    <w:basedOn w:val="Normal"/>
    <w:next w:val="BodyTextSingle"/>
    <w:pPr>
      <w:jc w:val="right"/>
    </w:pPr>
  </w:style>
  <w:style w:type="paragraph" w:styleId="TOC1">
    <w:name w:val="toc 1"/>
    <w:basedOn w:val="Normal"/>
    <w:next w:val="Normal"/>
    <w:autoRedefine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semiHidden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semiHidden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tingTitle">
    <w:name w:val="MarketingTitle"/>
    <w:basedOn w:val="Header"/>
    <w:rPr>
      <w:rFonts w:ascii="TradeGothic LT Extended" w:hAnsi="TradeGothic LT Extended"/>
      <w:sz w:val="32"/>
    </w:rPr>
  </w:style>
  <w:style w:type="paragraph" w:customStyle="1" w:styleId="MarketingBody">
    <w:name w:val="MarketingBody"/>
    <w:basedOn w:val="BodyTextSingle"/>
    <w:rPr>
      <w:rFonts w:ascii="Trade Gothic LT Std Cn" w:hAnsi="Trade Gothic LT Std Cn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unhideWhenUsed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smanik@hahnla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andmann\Desktop\Marketing%20template%20for%20deskto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Marketing template for desktop.dot</Template>
  <TotalTime>293</TotalTime>
  <Pages>3</Pages>
  <Words>761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Hahn Loeser + Parks LLP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 Lipinksi</dc:creator>
  <cp:lastModifiedBy>Kira Lipinksi</cp:lastModifiedBy>
  <cp:revision>26</cp:revision>
  <cp:lastPrinted>2013-01-18T22:50:00Z</cp:lastPrinted>
  <dcterms:created xsi:type="dcterms:W3CDTF">2012-12-17T19:44:00Z</dcterms:created>
  <dcterms:modified xsi:type="dcterms:W3CDTF">2013-01-29T22:24:00Z</dcterms:modified>
</cp:coreProperties>
</file>